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A1156" w14:textId="7233B3AA" w:rsidR="001D4F81" w:rsidRPr="0073282B" w:rsidRDefault="0073282B" w:rsidP="0073282B">
      <w:pPr>
        <w:jc w:val="center"/>
        <w:rPr>
          <w:rFonts w:ascii="Arial" w:hAnsi="Arial" w:cs="Arial"/>
          <w:sz w:val="20"/>
          <w:szCs w:val="20"/>
          <w:lang w:val="de-DE"/>
        </w:rPr>
      </w:pPr>
      <w:r w:rsidRPr="0073282B">
        <w:rPr>
          <w:rFonts w:ascii="Arial" w:hAnsi="Arial" w:cs="Arial"/>
          <w:sz w:val="20"/>
          <w:szCs w:val="20"/>
          <w:lang w:val="de-DE"/>
        </w:rPr>
        <w:t>AUTHORS</w:t>
      </w:r>
    </w:p>
    <w:p w14:paraId="70E28740" w14:textId="21E8FD0B" w:rsidR="0072470C" w:rsidRPr="00A84BF1" w:rsidRDefault="0072470C" w:rsidP="001D4F81">
      <w:pPr>
        <w:rPr>
          <w:rFonts w:ascii="Arial" w:hAnsi="Arial" w:cs="Arial"/>
          <w:sz w:val="20"/>
          <w:szCs w:val="20"/>
          <w:lang w:val="de-DE"/>
        </w:rPr>
      </w:pPr>
      <w:bookmarkStart w:id="0" w:name="_Hlk57634274"/>
      <w:r w:rsidRPr="0072470C">
        <w:rPr>
          <w:rFonts w:ascii="Arial" w:hAnsi="Arial" w:cs="Arial"/>
          <w:sz w:val="20"/>
          <w:szCs w:val="20"/>
          <w:lang w:val="de-DE"/>
        </w:rPr>
        <w:t xml:space="preserve">Lena Schmeiduch, Arbeits- und Organisationpsychologie, Institut für Psychologie, Universität Osnabrück; Korrespondenz: Seminarstr. </w:t>
      </w:r>
      <w:r w:rsidRPr="00A84BF1">
        <w:rPr>
          <w:rFonts w:ascii="Arial" w:hAnsi="Arial" w:cs="Arial"/>
          <w:sz w:val="20"/>
          <w:szCs w:val="20"/>
          <w:lang w:val="de-DE"/>
        </w:rPr>
        <w:t xml:space="preserve">20, 49074 Osnabrück, </w:t>
      </w:r>
      <w:r w:rsidR="0073282B" w:rsidRPr="00A84BF1">
        <w:rPr>
          <w:rFonts w:ascii="Arial" w:hAnsi="Arial" w:cs="Arial"/>
          <w:sz w:val="20"/>
          <w:szCs w:val="20"/>
          <w:lang w:val="de-DE"/>
        </w:rPr>
        <w:t>lena.schmeiduch@uni-osnabrueck.de</w:t>
      </w:r>
    </w:p>
    <w:p w14:paraId="64B7344C" w14:textId="64831C6D" w:rsidR="0072470C" w:rsidRDefault="002C01B0" w:rsidP="0073282B">
      <w:pPr>
        <w:spacing w:before="24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Prof. Dr. </w:t>
      </w:r>
      <w:r w:rsidR="0073282B" w:rsidRPr="0073282B">
        <w:rPr>
          <w:rFonts w:ascii="Arial" w:hAnsi="Arial" w:cs="Arial"/>
          <w:sz w:val="20"/>
          <w:szCs w:val="20"/>
          <w:lang w:val="de-DE"/>
        </w:rPr>
        <w:t>Karsten M</w:t>
      </w:r>
      <w:r w:rsidR="00221932">
        <w:rPr>
          <w:rFonts w:ascii="Arial" w:hAnsi="Arial" w:cs="Arial"/>
          <w:sz w:val="20"/>
          <w:szCs w:val="20"/>
          <w:lang w:val="de-DE"/>
        </w:rPr>
        <w:t>ü</w:t>
      </w:r>
      <w:r w:rsidR="0073282B" w:rsidRPr="0073282B">
        <w:rPr>
          <w:rFonts w:ascii="Arial" w:hAnsi="Arial" w:cs="Arial"/>
          <w:sz w:val="20"/>
          <w:szCs w:val="20"/>
          <w:lang w:val="de-DE"/>
        </w:rPr>
        <w:t xml:space="preserve">ller, </w:t>
      </w:r>
      <w:r w:rsidR="0073282B" w:rsidRPr="0072470C">
        <w:rPr>
          <w:rFonts w:ascii="Arial" w:hAnsi="Arial" w:cs="Arial"/>
          <w:sz w:val="20"/>
          <w:szCs w:val="20"/>
          <w:lang w:val="de-DE"/>
        </w:rPr>
        <w:t>Arbeits- und Organisationpsychologie, Institut für Psychologie, Universität Osnabrück</w:t>
      </w:r>
    </w:p>
    <w:p w14:paraId="2A8A97FC" w14:textId="77777777" w:rsidR="00E611E3" w:rsidRPr="0077490B" w:rsidRDefault="00E611E3" w:rsidP="001D4F81">
      <w:pPr>
        <w:rPr>
          <w:rFonts w:ascii="Arial" w:hAnsi="Arial" w:cs="Arial"/>
          <w:sz w:val="20"/>
          <w:szCs w:val="20"/>
          <w:lang w:val="de-DE"/>
        </w:rPr>
      </w:pPr>
    </w:p>
    <w:p w14:paraId="2807C225" w14:textId="39B799D5" w:rsidR="00537952" w:rsidRPr="0072470C" w:rsidRDefault="00537952" w:rsidP="001D4F81">
      <w:pPr>
        <w:rPr>
          <w:rFonts w:ascii="Arial" w:hAnsi="Arial" w:cs="Arial"/>
          <w:b/>
          <w:bCs/>
          <w:sz w:val="20"/>
          <w:szCs w:val="20"/>
        </w:rPr>
      </w:pPr>
      <w:r w:rsidRPr="0072470C">
        <w:rPr>
          <w:rFonts w:ascii="Arial" w:hAnsi="Arial" w:cs="Arial"/>
          <w:b/>
          <w:bCs/>
          <w:sz w:val="20"/>
          <w:szCs w:val="20"/>
        </w:rPr>
        <w:t>The role of past and future temporal orientation on sustainable engagement in the context of sustainable communities</w:t>
      </w:r>
    </w:p>
    <w:p w14:paraId="74DA7D9C" w14:textId="5E7536CF" w:rsidR="00E96DEB" w:rsidRDefault="001D4F81" w:rsidP="0077432A">
      <w:pPr>
        <w:spacing w:line="276" w:lineRule="auto"/>
        <w:rPr>
          <w:rFonts w:ascii="Arial" w:hAnsi="Arial" w:cs="Arial"/>
          <w:sz w:val="20"/>
          <w:szCs w:val="20"/>
        </w:rPr>
      </w:pPr>
      <w:bookmarkStart w:id="1" w:name="_Hlk65259645"/>
      <w:bookmarkEnd w:id="0"/>
      <w:r w:rsidRPr="0072470C">
        <w:rPr>
          <w:rFonts w:ascii="Arial" w:hAnsi="Arial" w:cs="Arial"/>
          <w:sz w:val="20"/>
          <w:szCs w:val="20"/>
        </w:rPr>
        <w:t xml:space="preserve">The climate crisis </w:t>
      </w:r>
      <w:r w:rsidR="00847853">
        <w:rPr>
          <w:rFonts w:ascii="Arial" w:hAnsi="Arial" w:cs="Arial"/>
          <w:sz w:val="20"/>
          <w:szCs w:val="20"/>
        </w:rPr>
        <w:t xml:space="preserve">is </w:t>
      </w:r>
      <w:r w:rsidR="007821B9" w:rsidRPr="0072470C">
        <w:rPr>
          <w:rFonts w:ascii="Arial" w:hAnsi="Arial" w:cs="Arial"/>
          <w:sz w:val="20"/>
          <w:szCs w:val="20"/>
        </w:rPr>
        <w:t xml:space="preserve">inherently </w:t>
      </w:r>
      <w:r w:rsidRPr="0072470C">
        <w:rPr>
          <w:rFonts w:ascii="Arial" w:hAnsi="Arial" w:cs="Arial"/>
          <w:sz w:val="20"/>
          <w:szCs w:val="20"/>
        </w:rPr>
        <w:t>a temporal problem</w:t>
      </w:r>
      <w:r w:rsidR="00E96DEB">
        <w:rPr>
          <w:rFonts w:ascii="Arial" w:hAnsi="Arial" w:cs="Arial"/>
          <w:sz w:val="20"/>
          <w:szCs w:val="20"/>
        </w:rPr>
        <w:t>.</w:t>
      </w:r>
      <w:r w:rsidR="007821B9">
        <w:rPr>
          <w:rFonts w:ascii="Arial" w:hAnsi="Arial" w:cs="Arial"/>
          <w:sz w:val="20"/>
          <w:szCs w:val="20"/>
        </w:rPr>
        <w:t xml:space="preserve"> </w:t>
      </w:r>
      <w:r w:rsidRPr="0072470C">
        <w:rPr>
          <w:rFonts w:ascii="Arial" w:hAnsi="Arial" w:cs="Arial"/>
          <w:sz w:val="20"/>
          <w:szCs w:val="20"/>
        </w:rPr>
        <w:t>Our actions today have far-reaching detrimental impacts on the environment in the future</w:t>
      </w:r>
      <w:r w:rsidR="007821B9">
        <w:rPr>
          <w:rFonts w:ascii="Arial" w:hAnsi="Arial" w:cs="Arial"/>
          <w:sz w:val="20"/>
          <w:szCs w:val="20"/>
        </w:rPr>
        <w:t xml:space="preserve"> resulting in</w:t>
      </w:r>
      <w:r w:rsidR="00785D9E" w:rsidRPr="0072470C">
        <w:rPr>
          <w:rFonts w:ascii="Arial" w:hAnsi="Arial" w:cs="Arial"/>
          <w:sz w:val="20"/>
          <w:szCs w:val="20"/>
        </w:rPr>
        <w:t xml:space="preserve"> a temporal dilemma between short-term and long-term interests (</w:t>
      </w:r>
      <w:proofErr w:type="spellStart"/>
      <w:r w:rsidR="00785D9E" w:rsidRPr="0072470C">
        <w:rPr>
          <w:rFonts w:ascii="Arial" w:hAnsi="Arial" w:cs="Arial"/>
          <w:sz w:val="20"/>
          <w:szCs w:val="20"/>
        </w:rPr>
        <w:t>Milfont</w:t>
      </w:r>
      <w:proofErr w:type="spellEnd"/>
      <w:r w:rsidR="00785D9E" w:rsidRPr="0072470C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="00785D9E" w:rsidRPr="0072470C">
        <w:rPr>
          <w:rFonts w:ascii="Arial" w:hAnsi="Arial" w:cs="Arial"/>
          <w:sz w:val="20"/>
          <w:szCs w:val="20"/>
        </w:rPr>
        <w:t>Demarque</w:t>
      </w:r>
      <w:proofErr w:type="spellEnd"/>
      <w:r w:rsidR="00785D9E" w:rsidRPr="0072470C">
        <w:rPr>
          <w:rFonts w:ascii="Arial" w:hAnsi="Arial" w:cs="Arial"/>
          <w:sz w:val="20"/>
          <w:szCs w:val="20"/>
        </w:rPr>
        <w:t xml:space="preserve">, 2015; </w:t>
      </w:r>
      <w:proofErr w:type="spellStart"/>
      <w:r w:rsidR="0008402C" w:rsidRPr="0072470C">
        <w:rPr>
          <w:rFonts w:ascii="Arial" w:hAnsi="Arial" w:cs="Arial"/>
          <w:sz w:val="20"/>
          <w:szCs w:val="20"/>
        </w:rPr>
        <w:t>Milfont</w:t>
      </w:r>
      <w:proofErr w:type="spellEnd"/>
      <w:r w:rsidR="0008402C" w:rsidRPr="0072470C">
        <w:rPr>
          <w:rFonts w:ascii="Arial" w:hAnsi="Arial" w:cs="Arial"/>
          <w:sz w:val="20"/>
          <w:szCs w:val="20"/>
        </w:rPr>
        <w:t xml:space="preserve"> &amp; Gouveia, 2006; </w:t>
      </w:r>
      <w:r w:rsidR="00785D9E" w:rsidRPr="0072470C">
        <w:rPr>
          <w:rFonts w:ascii="Arial" w:hAnsi="Arial" w:cs="Arial"/>
          <w:sz w:val="20"/>
          <w:szCs w:val="20"/>
        </w:rPr>
        <w:t xml:space="preserve">van Lange &amp; </w:t>
      </w:r>
      <w:proofErr w:type="spellStart"/>
      <w:r w:rsidR="00785D9E" w:rsidRPr="0072470C">
        <w:rPr>
          <w:rFonts w:ascii="Arial" w:hAnsi="Arial" w:cs="Arial"/>
          <w:sz w:val="20"/>
          <w:szCs w:val="20"/>
        </w:rPr>
        <w:t>Joireman</w:t>
      </w:r>
      <w:proofErr w:type="spellEnd"/>
      <w:r w:rsidR="00785D9E" w:rsidRPr="0072470C">
        <w:rPr>
          <w:rFonts w:ascii="Arial" w:hAnsi="Arial" w:cs="Arial"/>
          <w:sz w:val="20"/>
          <w:szCs w:val="20"/>
        </w:rPr>
        <w:t>, 2008)</w:t>
      </w:r>
      <w:r w:rsidR="00867D9C" w:rsidRPr="0072470C">
        <w:rPr>
          <w:rFonts w:ascii="Arial" w:hAnsi="Arial" w:cs="Arial"/>
          <w:sz w:val="20"/>
          <w:szCs w:val="20"/>
        </w:rPr>
        <w:t xml:space="preserve">. </w:t>
      </w:r>
      <w:r w:rsidR="00E96DEB" w:rsidRPr="0072470C">
        <w:rPr>
          <w:rFonts w:ascii="Arial" w:hAnsi="Arial" w:cs="Arial"/>
          <w:sz w:val="20"/>
          <w:szCs w:val="20"/>
        </w:rPr>
        <w:t xml:space="preserve">Therefore, in its most fundamental definition (Brundtland report; United Nations, 1987), sustainable development is inseparable from a temporal perspective. </w:t>
      </w:r>
    </w:p>
    <w:p w14:paraId="673020A2" w14:textId="23AB0887" w:rsidR="0077432A" w:rsidRPr="0077490B" w:rsidRDefault="0077432A" w:rsidP="0077432A">
      <w:pPr>
        <w:spacing w:line="276" w:lineRule="auto"/>
        <w:rPr>
          <w:rFonts w:ascii="Arial" w:hAnsi="Arial" w:cs="Arial"/>
          <w:sz w:val="20"/>
          <w:szCs w:val="20"/>
        </w:rPr>
      </w:pPr>
      <w:bookmarkStart w:id="2" w:name="_Hlk65259664"/>
      <w:bookmarkEnd w:id="1"/>
      <w:r w:rsidRPr="0072470C">
        <w:rPr>
          <w:rFonts w:ascii="Arial" w:hAnsi="Arial" w:cs="Arial"/>
          <w:sz w:val="20"/>
          <w:szCs w:val="20"/>
        </w:rPr>
        <w:t xml:space="preserve">From the perspective of time research, temporal orientation describes how individuals or collectives orient themselves to the past, present and future in various aspects of everyday life (Ancona </w:t>
      </w:r>
      <w:r w:rsidR="009E55A9">
        <w:rPr>
          <w:rFonts w:ascii="Arial" w:hAnsi="Arial" w:cs="Arial"/>
          <w:sz w:val="20"/>
          <w:szCs w:val="20"/>
        </w:rPr>
        <w:t>et al.</w:t>
      </w:r>
      <w:r w:rsidRPr="0072470C">
        <w:rPr>
          <w:rFonts w:ascii="Arial" w:hAnsi="Arial" w:cs="Arial"/>
          <w:sz w:val="20"/>
          <w:szCs w:val="20"/>
        </w:rPr>
        <w:t xml:space="preserve">, 2001; </w:t>
      </w:r>
      <w:proofErr w:type="spellStart"/>
      <w:r w:rsidR="00715059">
        <w:rPr>
          <w:rFonts w:ascii="Arial" w:hAnsi="Arial" w:cs="Arial"/>
          <w:sz w:val="20"/>
          <w:szCs w:val="20"/>
        </w:rPr>
        <w:t>Bluedorn</w:t>
      </w:r>
      <w:proofErr w:type="spellEnd"/>
      <w:r w:rsidR="00715059">
        <w:rPr>
          <w:rFonts w:ascii="Arial" w:hAnsi="Arial" w:cs="Arial"/>
          <w:sz w:val="20"/>
          <w:szCs w:val="20"/>
        </w:rPr>
        <w:t xml:space="preserve"> &amp; Denhardt, 1988; </w:t>
      </w:r>
      <w:proofErr w:type="spellStart"/>
      <w:r w:rsidR="00715059">
        <w:rPr>
          <w:rFonts w:ascii="Arial" w:hAnsi="Arial" w:cs="Arial"/>
          <w:sz w:val="20"/>
          <w:szCs w:val="20"/>
        </w:rPr>
        <w:t>Kunisch</w:t>
      </w:r>
      <w:proofErr w:type="spellEnd"/>
      <w:r w:rsidR="00715059">
        <w:rPr>
          <w:rFonts w:ascii="Arial" w:hAnsi="Arial" w:cs="Arial"/>
          <w:sz w:val="20"/>
          <w:szCs w:val="20"/>
        </w:rPr>
        <w:t xml:space="preserve"> et al., 2017; </w:t>
      </w:r>
      <w:r w:rsidRPr="0072470C">
        <w:rPr>
          <w:rFonts w:ascii="Arial" w:hAnsi="Arial" w:cs="Arial"/>
          <w:sz w:val="20"/>
          <w:szCs w:val="20"/>
        </w:rPr>
        <w:t>Shipp</w:t>
      </w:r>
      <w:r w:rsidR="009E55A9">
        <w:rPr>
          <w:rFonts w:ascii="Arial" w:hAnsi="Arial" w:cs="Arial"/>
          <w:sz w:val="20"/>
          <w:szCs w:val="20"/>
        </w:rPr>
        <w:t xml:space="preserve"> et al.</w:t>
      </w:r>
      <w:r w:rsidRPr="0072470C">
        <w:rPr>
          <w:rFonts w:ascii="Arial" w:hAnsi="Arial" w:cs="Arial"/>
          <w:sz w:val="20"/>
          <w:szCs w:val="20"/>
        </w:rPr>
        <w:t xml:space="preserve">, 2009). </w:t>
      </w:r>
      <w:r w:rsidR="00277A23" w:rsidRPr="0072470C">
        <w:rPr>
          <w:rFonts w:ascii="Arial" w:hAnsi="Arial" w:cs="Arial"/>
          <w:sz w:val="20"/>
          <w:szCs w:val="20"/>
        </w:rPr>
        <w:t>These temporal orientations fulfill important functions for creating order and meaning (Zimbardo &amp; Boyd, 1999). Furthermore, they influence a broad range of cognitive and affective processes</w:t>
      </w:r>
      <w:r w:rsidR="007821B9" w:rsidRPr="0072470C">
        <w:rPr>
          <w:rFonts w:ascii="Arial" w:hAnsi="Arial" w:cs="Arial"/>
          <w:sz w:val="20"/>
          <w:szCs w:val="20"/>
        </w:rPr>
        <w:t xml:space="preserve"> (</w:t>
      </w:r>
      <w:r w:rsidR="00715059" w:rsidRPr="0072470C">
        <w:rPr>
          <w:rFonts w:ascii="Arial" w:hAnsi="Arial" w:cs="Arial"/>
          <w:sz w:val="20"/>
          <w:szCs w:val="20"/>
        </w:rPr>
        <w:t>Butler, 1995</w:t>
      </w:r>
      <w:r w:rsidR="00715059">
        <w:rPr>
          <w:rFonts w:ascii="Arial" w:hAnsi="Arial" w:cs="Arial"/>
          <w:sz w:val="20"/>
          <w:szCs w:val="20"/>
        </w:rPr>
        <w:t xml:space="preserve">; </w:t>
      </w:r>
      <w:proofErr w:type="spellStart"/>
      <w:r w:rsidR="007821B9" w:rsidRPr="0072470C">
        <w:rPr>
          <w:rFonts w:ascii="Arial" w:hAnsi="Arial" w:cs="Arial"/>
          <w:sz w:val="20"/>
          <w:szCs w:val="20"/>
        </w:rPr>
        <w:t>Karniol</w:t>
      </w:r>
      <w:proofErr w:type="spellEnd"/>
      <w:r w:rsidR="007821B9" w:rsidRPr="0072470C">
        <w:rPr>
          <w:rFonts w:ascii="Arial" w:hAnsi="Arial" w:cs="Arial"/>
          <w:sz w:val="20"/>
          <w:szCs w:val="20"/>
        </w:rPr>
        <w:t xml:space="preserve"> &amp; Ross, </w:t>
      </w:r>
      <w:r w:rsidR="007821B9" w:rsidRPr="0077490B">
        <w:rPr>
          <w:rFonts w:ascii="Arial" w:hAnsi="Arial" w:cs="Arial"/>
          <w:sz w:val="20"/>
          <w:szCs w:val="20"/>
        </w:rPr>
        <w:t>1996; Nadkarni</w:t>
      </w:r>
      <w:r w:rsidR="009E55A9" w:rsidRPr="0077490B">
        <w:rPr>
          <w:rFonts w:ascii="Arial" w:hAnsi="Arial" w:cs="Arial"/>
          <w:sz w:val="20"/>
          <w:szCs w:val="20"/>
        </w:rPr>
        <w:t xml:space="preserve"> et al., </w:t>
      </w:r>
      <w:r w:rsidR="007821B9" w:rsidRPr="0077490B">
        <w:rPr>
          <w:rFonts w:ascii="Arial" w:hAnsi="Arial" w:cs="Arial"/>
          <w:sz w:val="20"/>
          <w:szCs w:val="20"/>
        </w:rPr>
        <w:t>2016</w:t>
      </w:r>
      <w:r w:rsidR="00715059" w:rsidRPr="0077490B">
        <w:rPr>
          <w:rFonts w:ascii="Arial" w:hAnsi="Arial" w:cs="Arial"/>
          <w:sz w:val="20"/>
          <w:szCs w:val="20"/>
        </w:rPr>
        <w:t>; Shipp et al., 2009</w:t>
      </w:r>
      <w:r w:rsidR="007821B9" w:rsidRPr="0077490B">
        <w:rPr>
          <w:rFonts w:ascii="Arial" w:hAnsi="Arial" w:cs="Arial"/>
          <w:sz w:val="20"/>
          <w:szCs w:val="20"/>
        </w:rPr>
        <w:t>)</w:t>
      </w:r>
      <w:r w:rsidR="00277A23" w:rsidRPr="0077490B">
        <w:rPr>
          <w:rFonts w:ascii="Arial" w:hAnsi="Arial" w:cs="Arial"/>
          <w:sz w:val="20"/>
          <w:szCs w:val="20"/>
        </w:rPr>
        <w:t xml:space="preserve">. </w:t>
      </w:r>
      <w:r w:rsidRPr="0077490B">
        <w:rPr>
          <w:rFonts w:ascii="Arial" w:hAnsi="Arial" w:cs="Arial"/>
          <w:sz w:val="20"/>
          <w:szCs w:val="20"/>
        </w:rPr>
        <w:t xml:space="preserve">Consequently, </w:t>
      </w:r>
      <w:r w:rsidR="007821B9" w:rsidRPr="0077490B">
        <w:rPr>
          <w:rFonts w:ascii="Arial" w:hAnsi="Arial" w:cs="Arial"/>
          <w:sz w:val="20"/>
          <w:szCs w:val="20"/>
        </w:rPr>
        <w:t xml:space="preserve">in different studies, </w:t>
      </w:r>
      <w:r w:rsidRPr="0077490B">
        <w:rPr>
          <w:rFonts w:ascii="Arial" w:hAnsi="Arial" w:cs="Arial"/>
          <w:sz w:val="20"/>
          <w:szCs w:val="20"/>
        </w:rPr>
        <w:t xml:space="preserve">temporal orientation </w:t>
      </w:r>
      <w:r w:rsidR="007821B9" w:rsidRPr="0077490B">
        <w:rPr>
          <w:rFonts w:ascii="Arial" w:hAnsi="Arial" w:cs="Arial"/>
          <w:sz w:val="20"/>
          <w:szCs w:val="20"/>
        </w:rPr>
        <w:t>was found</w:t>
      </w:r>
      <w:r w:rsidRPr="0077490B">
        <w:rPr>
          <w:rFonts w:ascii="Arial" w:hAnsi="Arial" w:cs="Arial"/>
          <w:sz w:val="20"/>
          <w:szCs w:val="20"/>
        </w:rPr>
        <w:t xml:space="preserve"> t</w:t>
      </w:r>
      <w:r w:rsidR="007821B9" w:rsidRPr="0077490B">
        <w:rPr>
          <w:rFonts w:ascii="Arial" w:hAnsi="Arial" w:cs="Arial"/>
          <w:sz w:val="20"/>
          <w:szCs w:val="20"/>
        </w:rPr>
        <w:t>o influence pro-environmental</w:t>
      </w:r>
      <w:r w:rsidRPr="0077490B">
        <w:rPr>
          <w:rFonts w:ascii="Arial" w:hAnsi="Arial" w:cs="Arial"/>
          <w:sz w:val="20"/>
          <w:szCs w:val="20"/>
        </w:rPr>
        <w:t xml:space="preserve"> attitudes and sustainab</w:t>
      </w:r>
      <w:r w:rsidR="007821B9" w:rsidRPr="0077490B">
        <w:rPr>
          <w:rFonts w:ascii="Arial" w:hAnsi="Arial" w:cs="Arial"/>
          <w:sz w:val="20"/>
          <w:szCs w:val="20"/>
        </w:rPr>
        <w:t>le</w:t>
      </w:r>
      <w:r w:rsidRPr="0077490B">
        <w:rPr>
          <w:rFonts w:ascii="Arial" w:hAnsi="Arial" w:cs="Arial"/>
          <w:sz w:val="20"/>
          <w:szCs w:val="20"/>
        </w:rPr>
        <w:t xml:space="preserve"> </w:t>
      </w:r>
      <w:r w:rsidR="007821B9" w:rsidRPr="0077490B">
        <w:rPr>
          <w:rFonts w:ascii="Arial" w:hAnsi="Arial" w:cs="Arial"/>
          <w:sz w:val="20"/>
          <w:szCs w:val="20"/>
        </w:rPr>
        <w:t>behavior</w:t>
      </w:r>
      <w:r w:rsidRPr="0077490B">
        <w:rPr>
          <w:rFonts w:ascii="Arial" w:hAnsi="Arial" w:cs="Arial"/>
          <w:sz w:val="20"/>
          <w:szCs w:val="20"/>
        </w:rPr>
        <w:t xml:space="preserve"> (Corral-Verdugo</w:t>
      </w:r>
      <w:r w:rsidR="009E55A9" w:rsidRPr="0077490B">
        <w:rPr>
          <w:rFonts w:ascii="Arial" w:hAnsi="Arial" w:cs="Arial"/>
          <w:sz w:val="20"/>
          <w:szCs w:val="20"/>
        </w:rPr>
        <w:t xml:space="preserve"> et al.</w:t>
      </w:r>
      <w:r w:rsidRPr="0077490B">
        <w:rPr>
          <w:rFonts w:ascii="Arial" w:hAnsi="Arial" w:cs="Arial"/>
          <w:sz w:val="20"/>
          <w:szCs w:val="20"/>
        </w:rPr>
        <w:t xml:space="preserve">, 2006; </w:t>
      </w:r>
      <w:proofErr w:type="spellStart"/>
      <w:r w:rsidRPr="0077490B">
        <w:rPr>
          <w:rFonts w:ascii="Arial" w:hAnsi="Arial" w:cs="Arial"/>
          <w:sz w:val="20"/>
          <w:szCs w:val="20"/>
        </w:rPr>
        <w:t>Ebreo</w:t>
      </w:r>
      <w:proofErr w:type="spellEnd"/>
      <w:r w:rsidRPr="0077490B">
        <w:rPr>
          <w:rFonts w:ascii="Arial" w:hAnsi="Arial" w:cs="Arial"/>
          <w:sz w:val="20"/>
          <w:szCs w:val="20"/>
        </w:rPr>
        <w:t xml:space="preserve"> &amp; Vining, 2001; Lindsay &amp; </w:t>
      </w:r>
      <w:proofErr w:type="spellStart"/>
      <w:r w:rsidRPr="0077490B">
        <w:rPr>
          <w:rFonts w:ascii="Arial" w:hAnsi="Arial" w:cs="Arial"/>
          <w:sz w:val="20"/>
          <w:szCs w:val="20"/>
        </w:rPr>
        <w:t>Strathman</w:t>
      </w:r>
      <w:proofErr w:type="spellEnd"/>
      <w:r w:rsidRPr="0077490B">
        <w:rPr>
          <w:rFonts w:ascii="Arial" w:hAnsi="Arial" w:cs="Arial"/>
          <w:sz w:val="20"/>
          <w:szCs w:val="20"/>
        </w:rPr>
        <w:t>, 1997; Sadeghi</w:t>
      </w:r>
      <w:r w:rsidR="009E55A9" w:rsidRPr="0077490B">
        <w:rPr>
          <w:rFonts w:ascii="Arial" w:hAnsi="Arial" w:cs="Arial"/>
          <w:sz w:val="20"/>
          <w:szCs w:val="20"/>
        </w:rPr>
        <w:t xml:space="preserve"> et al.</w:t>
      </w:r>
      <w:r w:rsidRPr="0077490B">
        <w:rPr>
          <w:rFonts w:ascii="Arial" w:hAnsi="Arial" w:cs="Arial"/>
          <w:sz w:val="20"/>
          <w:szCs w:val="20"/>
        </w:rPr>
        <w:t>, 2019).</w:t>
      </w:r>
      <w:r w:rsidR="004574B9" w:rsidRPr="0077490B">
        <w:rPr>
          <w:rFonts w:ascii="Arial" w:hAnsi="Arial" w:cs="Arial"/>
          <w:sz w:val="20"/>
          <w:szCs w:val="20"/>
        </w:rPr>
        <w:t xml:space="preserve"> Combining some of these findings, in a meta-analysis of 19 independent samples from seven countries, </w:t>
      </w:r>
      <w:proofErr w:type="spellStart"/>
      <w:r w:rsidR="004574B9" w:rsidRPr="0077490B">
        <w:rPr>
          <w:rFonts w:ascii="Arial" w:hAnsi="Arial" w:cs="Arial"/>
          <w:sz w:val="20"/>
          <w:szCs w:val="20"/>
        </w:rPr>
        <w:t>Milfont</w:t>
      </w:r>
      <w:proofErr w:type="spellEnd"/>
      <w:r w:rsidR="0008402C">
        <w:rPr>
          <w:rFonts w:ascii="Arial" w:hAnsi="Arial" w:cs="Arial"/>
          <w:sz w:val="20"/>
          <w:szCs w:val="20"/>
        </w:rPr>
        <w:t xml:space="preserve">, Wilson and </w:t>
      </w:r>
      <w:proofErr w:type="spellStart"/>
      <w:r w:rsidR="0008402C">
        <w:rPr>
          <w:rFonts w:ascii="Arial" w:hAnsi="Arial" w:cs="Arial"/>
          <w:sz w:val="20"/>
          <w:szCs w:val="20"/>
        </w:rPr>
        <w:t>Diniz</w:t>
      </w:r>
      <w:proofErr w:type="spellEnd"/>
      <w:r w:rsidR="009E55A9" w:rsidRPr="0077490B">
        <w:rPr>
          <w:rFonts w:ascii="Arial" w:hAnsi="Arial" w:cs="Arial"/>
          <w:sz w:val="20"/>
          <w:szCs w:val="20"/>
        </w:rPr>
        <w:t xml:space="preserve"> </w:t>
      </w:r>
      <w:r w:rsidR="004574B9" w:rsidRPr="0077490B">
        <w:rPr>
          <w:rFonts w:ascii="Arial" w:hAnsi="Arial" w:cs="Arial"/>
          <w:sz w:val="20"/>
          <w:szCs w:val="20"/>
        </w:rPr>
        <w:t xml:space="preserve">(2012) found that future temporal orientation was positively associated with pro-environmental attitudes and behavior. </w:t>
      </w:r>
    </w:p>
    <w:p w14:paraId="189144BE" w14:textId="23F5DCA4" w:rsidR="00FB6A16" w:rsidRPr="0077490B" w:rsidRDefault="004574B9" w:rsidP="00FB6A16">
      <w:pPr>
        <w:spacing w:line="276" w:lineRule="auto"/>
        <w:rPr>
          <w:rFonts w:ascii="Arial" w:hAnsi="Arial" w:cs="Arial"/>
          <w:sz w:val="20"/>
          <w:szCs w:val="20"/>
        </w:rPr>
      </w:pPr>
      <w:bookmarkStart w:id="3" w:name="_Hlk65259691"/>
      <w:bookmarkEnd w:id="2"/>
      <w:r w:rsidRPr="0077490B">
        <w:rPr>
          <w:rFonts w:ascii="Arial" w:hAnsi="Arial" w:cs="Arial"/>
          <w:sz w:val="20"/>
          <w:szCs w:val="20"/>
        </w:rPr>
        <w:t xml:space="preserve">However, research on the relationship between temporal orientation and sustainable action almost exclusively concentrates on future orientation neglecting the role of other temporal orientations. </w:t>
      </w:r>
      <w:r w:rsidR="005F4A44" w:rsidRPr="0077490B">
        <w:rPr>
          <w:rFonts w:ascii="Arial" w:hAnsi="Arial" w:cs="Arial"/>
          <w:sz w:val="20"/>
          <w:szCs w:val="20"/>
        </w:rPr>
        <w:t xml:space="preserve">Nevertheless, </w:t>
      </w:r>
      <w:bookmarkStart w:id="4" w:name="_Hlk65258757"/>
      <w:r w:rsidR="00FB6A16" w:rsidRPr="0077490B">
        <w:rPr>
          <w:rFonts w:ascii="Arial" w:hAnsi="Arial" w:cs="Arial"/>
          <w:sz w:val="20"/>
          <w:szCs w:val="20"/>
        </w:rPr>
        <w:t>it seems of vital importance to also consider past orientation when looking at sustainable engagement</w:t>
      </w:r>
      <w:r w:rsidR="00B45C47" w:rsidRPr="0077490B">
        <w:rPr>
          <w:rFonts w:ascii="Arial" w:hAnsi="Arial" w:cs="Arial"/>
          <w:sz w:val="20"/>
          <w:szCs w:val="20"/>
        </w:rPr>
        <w:t xml:space="preserve"> in the context of sustainable communities</w:t>
      </w:r>
      <w:r w:rsidR="00FB6A16" w:rsidRPr="0077490B">
        <w:rPr>
          <w:rFonts w:ascii="Arial" w:hAnsi="Arial" w:cs="Arial"/>
          <w:sz w:val="20"/>
          <w:szCs w:val="20"/>
        </w:rPr>
        <w:t xml:space="preserve">. </w:t>
      </w:r>
      <w:r w:rsidR="006979F0" w:rsidRPr="0077490B">
        <w:rPr>
          <w:rFonts w:ascii="Arial" w:hAnsi="Arial" w:cs="Arial"/>
          <w:sz w:val="20"/>
          <w:szCs w:val="20"/>
        </w:rPr>
        <w:t xml:space="preserve">In general, past time is conceptualized as some point in time before the present. Individuals “evaluate the present relative to the way things were in the past” (Baldwin &amp; Lammers, 2016, p. </w:t>
      </w:r>
      <w:r w:rsidR="00B45C47" w:rsidRPr="0077490B">
        <w:rPr>
          <w:rFonts w:ascii="Arial" w:hAnsi="Arial" w:cs="Arial"/>
          <w:sz w:val="20"/>
          <w:szCs w:val="20"/>
        </w:rPr>
        <w:t>14953</w:t>
      </w:r>
      <w:r w:rsidR="006979F0" w:rsidRPr="0077490B">
        <w:rPr>
          <w:rFonts w:ascii="Arial" w:hAnsi="Arial" w:cs="Arial"/>
          <w:sz w:val="20"/>
          <w:szCs w:val="20"/>
        </w:rPr>
        <w:t>). When the past is appraised as being more appealing than the present, a return to a past state might be desired (Baldwin &amp; Lammers, 2016). More specifically, this comparison of a current state against a presumed past state can yield sentimental or nostalgic attitudes for the way things were in the past (</w:t>
      </w:r>
      <w:proofErr w:type="spellStart"/>
      <w:r w:rsidR="006979F0" w:rsidRPr="0077490B">
        <w:rPr>
          <w:rFonts w:ascii="Arial" w:hAnsi="Arial" w:cs="Arial"/>
          <w:sz w:val="20"/>
          <w:szCs w:val="20"/>
        </w:rPr>
        <w:t>Autio</w:t>
      </w:r>
      <w:proofErr w:type="spellEnd"/>
      <w:r w:rsidR="006979F0" w:rsidRPr="0077490B">
        <w:rPr>
          <w:rFonts w:ascii="Arial" w:hAnsi="Arial" w:cs="Arial"/>
          <w:sz w:val="20"/>
          <w:szCs w:val="20"/>
        </w:rPr>
        <w:t xml:space="preserve"> et al., 2013; Baldwin &amp; Lammers, 2016). This is in line with the past-positive temporal orientation which </w:t>
      </w:r>
      <w:r w:rsidR="00FB6A16" w:rsidRPr="0077490B">
        <w:rPr>
          <w:rFonts w:ascii="Arial" w:hAnsi="Arial" w:cs="Arial"/>
          <w:sz w:val="20"/>
          <w:szCs w:val="20"/>
        </w:rPr>
        <w:t>involves</w:t>
      </w:r>
      <w:r w:rsidR="006979F0" w:rsidRPr="0077490B">
        <w:rPr>
          <w:rFonts w:ascii="Arial" w:hAnsi="Arial" w:cs="Arial"/>
          <w:sz w:val="20"/>
          <w:szCs w:val="20"/>
        </w:rPr>
        <w:t xml:space="preserve"> focusing on good old times and positive constructions of the past (Zimbardo &amp; Boyd, 1999).</w:t>
      </w:r>
      <w:r w:rsidR="00FB6A16" w:rsidRPr="0077490B">
        <w:rPr>
          <w:rFonts w:ascii="Arial" w:hAnsi="Arial" w:cs="Arial"/>
          <w:sz w:val="20"/>
          <w:szCs w:val="20"/>
        </w:rPr>
        <w:t xml:space="preserve"> </w:t>
      </w:r>
      <w:r w:rsidR="006979F0" w:rsidRPr="0077490B">
        <w:rPr>
          <w:rFonts w:ascii="Arial" w:hAnsi="Arial" w:cs="Arial"/>
          <w:sz w:val="20"/>
          <w:szCs w:val="20"/>
        </w:rPr>
        <w:t>Orienting oneself to a positive past can</w:t>
      </w:r>
      <w:r w:rsidR="00FB6A16" w:rsidRPr="0077490B">
        <w:rPr>
          <w:rFonts w:ascii="Arial" w:hAnsi="Arial" w:cs="Arial"/>
          <w:sz w:val="20"/>
          <w:szCs w:val="20"/>
        </w:rPr>
        <w:t xml:space="preserve"> </w:t>
      </w:r>
      <w:r w:rsidR="006979F0" w:rsidRPr="0077490B">
        <w:rPr>
          <w:rFonts w:ascii="Arial" w:hAnsi="Arial" w:cs="Arial"/>
          <w:sz w:val="20"/>
          <w:szCs w:val="20"/>
        </w:rPr>
        <w:t>result</w:t>
      </w:r>
      <w:r w:rsidR="00FB6A16" w:rsidRPr="0077490B">
        <w:rPr>
          <w:rFonts w:ascii="Arial" w:hAnsi="Arial" w:cs="Arial"/>
          <w:sz w:val="20"/>
          <w:szCs w:val="20"/>
        </w:rPr>
        <w:t>, for example,</w:t>
      </w:r>
      <w:r w:rsidR="006979F0" w:rsidRPr="0077490B">
        <w:rPr>
          <w:rFonts w:ascii="Arial" w:hAnsi="Arial" w:cs="Arial"/>
          <w:sz w:val="20"/>
          <w:szCs w:val="20"/>
        </w:rPr>
        <w:t xml:space="preserve"> in a longing for past states of the ecosystem (</w:t>
      </w:r>
      <w:proofErr w:type="spellStart"/>
      <w:r w:rsidR="006979F0" w:rsidRPr="0077490B">
        <w:rPr>
          <w:rFonts w:ascii="Arial" w:hAnsi="Arial" w:cs="Arial"/>
          <w:sz w:val="20"/>
          <w:szCs w:val="20"/>
        </w:rPr>
        <w:t>Willson</w:t>
      </w:r>
      <w:proofErr w:type="spellEnd"/>
      <w:r w:rsidR="006979F0" w:rsidRPr="0077490B">
        <w:rPr>
          <w:rFonts w:ascii="Arial" w:hAnsi="Arial" w:cs="Arial"/>
          <w:sz w:val="20"/>
          <w:szCs w:val="20"/>
        </w:rPr>
        <w:t xml:space="preserve"> et al., 2019) or in </w:t>
      </w:r>
      <w:r w:rsidR="00E96DEB" w:rsidRPr="0077490B">
        <w:rPr>
          <w:rFonts w:ascii="Arial" w:hAnsi="Arial" w:cs="Arial"/>
          <w:sz w:val="20"/>
          <w:szCs w:val="20"/>
        </w:rPr>
        <w:t xml:space="preserve">considering </w:t>
      </w:r>
      <w:r w:rsidR="006979F0" w:rsidRPr="0077490B">
        <w:rPr>
          <w:rFonts w:ascii="Arial" w:hAnsi="Arial" w:cs="Arial"/>
          <w:sz w:val="20"/>
          <w:szCs w:val="20"/>
        </w:rPr>
        <w:t xml:space="preserve">locally produced food </w:t>
      </w:r>
      <w:r w:rsidR="00E96DEB" w:rsidRPr="0077490B">
        <w:rPr>
          <w:rFonts w:ascii="Arial" w:hAnsi="Arial" w:cs="Arial"/>
          <w:sz w:val="20"/>
          <w:szCs w:val="20"/>
        </w:rPr>
        <w:t xml:space="preserve">as </w:t>
      </w:r>
      <w:r w:rsidR="006979F0" w:rsidRPr="0077490B">
        <w:rPr>
          <w:rFonts w:ascii="Arial" w:hAnsi="Arial" w:cs="Arial"/>
          <w:sz w:val="20"/>
          <w:szCs w:val="20"/>
        </w:rPr>
        <w:t>the real, authentic food (</w:t>
      </w:r>
      <w:proofErr w:type="spellStart"/>
      <w:r w:rsidR="006979F0" w:rsidRPr="0077490B">
        <w:rPr>
          <w:rFonts w:ascii="Arial" w:hAnsi="Arial" w:cs="Arial"/>
          <w:sz w:val="20"/>
          <w:szCs w:val="20"/>
        </w:rPr>
        <w:t>Autio</w:t>
      </w:r>
      <w:proofErr w:type="spellEnd"/>
      <w:r w:rsidR="006979F0" w:rsidRPr="0077490B">
        <w:rPr>
          <w:rFonts w:ascii="Arial" w:hAnsi="Arial" w:cs="Arial"/>
          <w:sz w:val="20"/>
          <w:szCs w:val="20"/>
        </w:rPr>
        <w:t xml:space="preserve"> et al., 2013). </w:t>
      </w:r>
      <w:bookmarkEnd w:id="4"/>
      <w:r w:rsidR="0077490B" w:rsidRPr="0072470C">
        <w:rPr>
          <w:rFonts w:ascii="Arial" w:hAnsi="Arial" w:cs="Arial"/>
          <w:sz w:val="20"/>
          <w:szCs w:val="20"/>
        </w:rPr>
        <w:t xml:space="preserve">For instance, terms such as </w:t>
      </w:r>
      <w:proofErr w:type="spellStart"/>
      <w:r w:rsidR="0077490B" w:rsidRPr="0072470C">
        <w:rPr>
          <w:rFonts w:ascii="Arial" w:hAnsi="Arial" w:cs="Arial"/>
          <w:i/>
          <w:iCs/>
          <w:sz w:val="20"/>
          <w:szCs w:val="20"/>
        </w:rPr>
        <w:t>nativeness</w:t>
      </w:r>
      <w:proofErr w:type="spellEnd"/>
      <w:r w:rsidR="0077490B" w:rsidRPr="0072470C">
        <w:rPr>
          <w:rFonts w:ascii="Arial" w:hAnsi="Arial" w:cs="Arial"/>
          <w:sz w:val="20"/>
          <w:szCs w:val="20"/>
        </w:rPr>
        <w:t xml:space="preserve">, </w:t>
      </w:r>
      <w:r w:rsidR="0077490B" w:rsidRPr="0072470C">
        <w:rPr>
          <w:rFonts w:ascii="Arial" w:hAnsi="Arial" w:cs="Arial"/>
          <w:i/>
          <w:iCs/>
          <w:sz w:val="20"/>
          <w:szCs w:val="20"/>
        </w:rPr>
        <w:t>naturalness</w:t>
      </w:r>
      <w:r w:rsidR="0077490B" w:rsidRPr="0072470C">
        <w:rPr>
          <w:rFonts w:ascii="Arial" w:hAnsi="Arial" w:cs="Arial"/>
          <w:sz w:val="20"/>
          <w:szCs w:val="20"/>
        </w:rPr>
        <w:t xml:space="preserve">, </w:t>
      </w:r>
      <w:r w:rsidR="0077490B" w:rsidRPr="0072470C">
        <w:rPr>
          <w:rFonts w:ascii="Arial" w:hAnsi="Arial" w:cs="Arial"/>
          <w:i/>
          <w:iCs/>
          <w:sz w:val="20"/>
          <w:szCs w:val="20"/>
        </w:rPr>
        <w:t>origins</w:t>
      </w:r>
      <w:r w:rsidR="0077490B" w:rsidRPr="0072470C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77490B" w:rsidRPr="0072470C">
        <w:rPr>
          <w:rFonts w:ascii="Arial" w:hAnsi="Arial" w:cs="Arial"/>
          <w:i/>
          <w:iCs/>
          <w:sz w:val="20"/>
          <w:szCs w:val="20"/>
        </w:rPr>
        <w:t>roots</w:t>
      </w:r>
      <w:proofErr w:type="gramEnd"/>
      <w:r w:rsidR="0077490B" w:rsidRPr="0072470C">
        <w:rPr>
          <w:rFonts w:ascii="Arial" w:hAnsi="Arial" w:cs="Arial"/>
          <w:sz w:val="20"/>
          <w:szCs w:val="20"/>
        </w:rPr>
        <w:t xml:space="preserve"> or </w:t>
      </w:r>
      <w:r w:rsidR="0077490B" w:rsidRPr="0072470C">
        <w:rPr>
          <w:rFonts w:ascii="Arial" w:hAnsi="Arial" w:cs="Arial"/>
          <w:i/>
          <w:iCs/>
          <w:sz w:val="20"/>
          <w:szCs w:val="20"/>
        </w:rPr>
        <w:t>original form</w:t>
      </w:r>
      <w:r w:rsidR="0077490B" w:rsidRPr="0072470C">
        <w:rPr>
          <w:rFonts w:ascii="Arial" w:hAnsi="Arial" w:cs="Arial"/>
          <w:sz w:val="20"/>
          <w:szCs w:val="20"/>
        </w:rPr>
        <w:t xml:space="preserve"> are commonly employed. </w:t>
      </w:r>
      <w:bookmarkStart w:id="5" w:name="_Hlk65258786"/>
      <w:r w:rsidR="00B45C47" w:rsidRPr="0077490B">
        <w:rPr>
          <w:rFonts w:ascii="Arial" w:hAnsi="Arial" w:cs="Arial"/>
          <w:sz w:val="20"/>
          <w:szCs w:val="20"/>
        </w:rPr>
        <w:t xml:space="preserve">In the context of sustainable communities, living together in close-knit village communities, making use of earlier agricultural practices or </w:t>
      </w:r>
      <w:r w:rsidR="00277A23" w:rsidRPr="0077490B">
        <w:rPr>
          <w:rFonts w:ascii="Arial" w:hAnsi="Arial" w:cs="Arial"/>
          <w:sz w:val="20"/>
          <w:szCs w:val="20"/>
        </w:rPr>
        <w:t xml:space="preserve">an “escape to niche markets and niche agricultural production” </w:t>
      </w:r>
      <w:r w:rsidR="00B45C47" w:rsidRPr="0077490B">
        <w:rPr>
          <w:rFonts w:ascii="Arial" w:hAnsi="Arial" w:cs="Arial"/>
          <w:sz w:val="20"/>
          <w:szCs w:val="20"/>
        </w:rPr>
        <w:t xml:space="preserve">can be considered as a </w:t>
      </w:r>
      <w:r w:rsidR="00277A23" w:rsidRPr="0077490B">
        <w:rPr>
          <w:rFonts w:ascii="Arial" w:hAnsi="Arial" w:cs="Arial"/>
          <w:sz w:val="20"/>
          <w:szCs w:val="20"/>
        </w:rPr>
        <w:t>“return to the past” (</w:t>
      </w:r>
      <w:proofErr w:type="spellStart"/>
      <w:r w:rsidR="00277A23" w:rsidRPr="0077490B">
        <w:rPr>
          <w:rFonts w:ascii="Arial" w:hAnsi="Arial" w:cs="Arial"/>
          <w:sz w:val="20"/>
          <w:szCs w:val="20"/>
        </w:rPr>
        <w:t>Autio</w:t>
      </w:r>
      <w:proofErr w:type="spellEnd"/>
      <w:r w:rsidR="00277A23" w:rsidRPr="0077490B">
        <w:rPr>
          <w:rFonts w:ascii="Arial" w:hAnsi="Arial" w:cs="Arial"/>
          <w:sz w:val="20"/>
          <w:szCs w:val="20"/>
        </w:rPr>
        <w:t xml:space="preserve"> et al., 2013, p. 568)</w:t>
      </w:r>
      <w:r w:rsidR="00B45C47" w:rsidRPr="0077490B">
        <w:rPr>
          <w:rFonts w:ascii="Arial" w:hAnsi="Arial" w:cs="Arial"/>
          <w:sz w:val="20"/>
          <w:szCs w:val="20"/>
        </w:rPr>
        <w:t xml:space="preserve">. </w:t>
      </w:r>
      <w:r w:rsidR="006979F0" w:rsidRPr="0077490B">
        <w:rPr>
          <w:rFonts w:ascii="Arial" w:hAnsi="Arial" w:cs="Arial"/>
          <w:sz w:val="20"/>
          <w:szCs w:val="20"/>
        </w:rPr>
        <w:t>Accordingly,</w:t>
      </w:r>
      <w:r w:rsidR="00E96DEB" w:rsidRPr="0077490B">
        <w:rPr>
          <w:rFonts w:ascii="Arial" w:hAnsi="Arial" w:cs="Arial"/>
          <w:sz w:val="20"/>
          <w:szCs w:val="20"/>
        </w:rPr>
        <w:t xml:space="preserve"> some studies provide first indications </w:t>
      </w:r>
      <w:r w:rsidR="006979F0" w:rsidRPr="0077490B">
        <w:rPr>
          <w:rFonts w:ascii="Arial" w:hAnsi="Arial" w:cs="Arial"/>
          <w:sz w:val="20"/>
          <w:szCs w:val="20"/>
        </w:rPr>
        <w:t>that past-focused environmental comparisons could affect attitudes and behavior regarding climate change (Baldwin &amp; Lammers, 2016; Lammers &amp; Baldwin</w:t>
      </w:r>
      <w:r w:rsidR="00E96DEB" w:rsidRPr="0077490B">
        <w:rPr>
          <w:rFonts w:ascii="Arial" w:hAnsi="Arial" w:cs="Arial"/>
          <w:sz w:val="20"/>
          <w:szCs w:val="20"/>
        </w:rPr>
        <w:t xml:space="preserve">, </w:t>
      </w:r>
      <w:r w:rsidR="006979F0" w:rsidRPr="0077490B">
        <w:rPr>
          <w:rFonts w:ascii="Arial" w:hAnsi="Arial" w:cs="Arial"/>
          <w:sz w:val="20"/>
          <w:szCs w:val="20"/>
        </w:rPr>
        <w:t>2018).</w:t>
      </w:r>
      <w:r w:rsidR="00FB6A16" w:rsidRPr="0077490B">
        <w:rPr>
          <w:rFonts w:ascii="Arial" w:hAnsi="Arial" w:cs="Arial"/>
          <w:sz w:val="20"/>
          <w:szCs w:val="20"/>
        </w:rPr>
        <w:t xml:space="preserve"> </w:t>
      </w:r>
      <w:bookmarkEnd w:id="5"/>
    </w:p>
    <w:p w14:paraId="5F332F9A" w14:textId="64ED81F3" w:rsidR="006C06FE" w:rsidRPr="0077490B" w:rsidRDefault="00277A23" w:rsidP="00B06EFE">
      <w:pPr>
        <w:spacing w:line="276" w:lineRule="auto"/>
        <w:rPr>
          <w:rFonts w:ascii="Arial" w:hAnsi="Arial" w:cs="Arial"/>
          <w:sz w:val="20"/>
          <w:szCs w:val="20"/>
        </w:rPr>
      </w:pPr>
      <w:bookmarkStart w:id="6" w:name="_Hlk65259725"/>
      <w:bookmarkEnd w:id="3"/>
      <w:r w:rsidRPr="0077490B">
        <w:rPr>
          <w:rFonts w:ascii="Arial" w:hAnsi="Arial" w:cs="Arial"/>
          <w:sz w:val="20"/>
          <w:szCs w:val="20"/>
        </w:rPr>
        <w:t>Therefore, insights into the influences of differing temporal orientations on individuals’ engagement in sustainability-oriented transformative communities are of high interest to understand how collective sustainable behavior could be enhanced. Hence</w:t>
      </w:r>
      <w:r w:rsidR="0040384F" w:rsidRPr="0077490B">
        <w:rPr>
          <w:rFonts w:ascii="Arial" w:hAnsi="Arial" w:cs="Arial"/>
          <w:sz w:val="20"/>
          <w:szCs w:val="20"/>
        </w:rPr>
        <w:t xml:space="preserve">, </w:t>
      </w:r>
      <w:r w:rsidR="00DC3537" w:rsidRPr="0077490B">
        <w:rPr>
          <w:rFonts w:ascii="Arial" w:hAnsi="Arial" w:cs="Arial"/>
          <w:sz w:val="20"/>
          <w:szCs w:val="20"/>
        </w:rPr>
        <w:t xml:space="preserve">the present study </w:t>
      </w:r>
      <w:r w:rsidR="004574B9" w:rsidRPr="0077490B">
        <w:rPr>
          <w:rFonts w:ascii="Arial" w:hAnsi="Arial" w:cs="Arial"/>
          <w:sz w:val="20"/>
          <w:szCs w:val="20"/>
        </w:rPr>
        <w:t xml:space="preserve">develops </w:t>
      </w:r>
      <w:r w:rsidR="002D1F12" w:rsidRPr="0077490B">
        <w:rPr>
          <w:rFonts w:ascii="Arial" w:hAnsi="Arial" w:cs="Arial"/>
          <w:sz w:val="20"/>
          <w:szCs w:val="20"/>
        </w:rPr>
        <w:t>a framework on the relation between varying temporal orientations and sustainable engagement</w:t>
      </w:r>
      <w:r w:rsidR="006C06FE" w:rsidRPr="0077490B">
        <w:rPr>
          <w:rFonts w:ascii="Arial" w:hAnsi="Arial" w:cs="Arial"/>
          <w:sz w:val="20"/>
          <w:szCs w:val="20"/>
        </w:rPr>
        <w:t xml:space="preserve">, </w:t>
      </w:r>
      <w:r w:rsidR="002D1F12" w:rsidRPr="0077490B">
        <w:rPr>
          <w:rFonts w:ascii="Arial" w:hAnsi="Arial" w:cs="Arial"/>
          <w:sz w:val="20"/>
          <w:szCs w:val="20"/>
        </w:rPr>
        <w:t>specifically looking at the context of sustainab</w:t>
      </w:r>
      <w:r w:rsidR="005F4A44" w:rsidRPr="0077490B">
        <w:rPr>
          <w:rFonts w:ascii="Arial" w:hAnsi="Arial" w:cs="Arial"/>
          <w:sz w:val="20"/>
          <w:szCs w:val="20"/>
        </w:rPr>
        <w:t>le</w:t>
      </w:r>
      <w:r w:rsidR="002D1F12" w:rsidRPr="0077490B">
        <w:rPr>
          <w:rFonts w:ascii="Arial" w:hAnsi="Arial" w:cs="Arial"/>
          <w:sz w:val="20"/>
          <w:szCs w:val="20"/>
        </w:rPr>
        <w:t xml:space="preserve"> communities.</w:t>
      </w:r>
      <w:r w:rsidR="001337EF" w:rsidRPr="0077490B">
        <w:rPr>
          <w:rFonts w:ascii="Arial" w:hAnsi="Arial" w:cs="Arial"/>
          <w:sz w:val="20"/>
          <w:szCs w:val="20"/>
        </w:rPr>
        <w:t xml:space="preserve"> More specifically, the framework conceptualizes both future and </w:t>
      </w:r>
      <w:r w:rsidR="001337EF" w:rsidRPr="0077490B">
        <w:rPr>
          <w:rFonts w:ascii="Arial" w:hAnsi="Arial" w:cs="Arial"/>
          <w:sz w:val="20"/>
          <w:szCs w:val="20"/>
        </w:rPr>
        <w:lastRenderedPageBreak/>
        <w:t>past temporal orientations as important anchors for cognitive and affective processes which thereby exhibit a strong influence on</w:t>
      </w:r>
      <w:r w:rsidR="004574B9" w:rsidRPr="0077490B">
        <w:rPr>
          <w:rFonts w:ascii="Arial" w:hAnsi="Arial" w:cs="Arial"/>
          <w:sz w:val="20"/>
          <w:szCs w:val="20"/>
        </w:rPr>
        <w:t xml:space="preserve"> motivations </w:t>
      </w:r>
      <w:r w:rsidR="006C06FE" w:rsidRPr="0077490B">
        <w:rPr>
          <w:rFonts w:ascii="Arial" w:hAnsi="Arial" w:cs="Arial"/>
          <w:sz w:val="20"/>
          <w:szCs w:val="20"/>
        </w:rPr>
        <w:t xml:space="preserve">for pro-environmental attitudes and behavior. </w:t>
      </w:r>
    </w:p>
    <w:p w14:paraId="197EE20C" w14:textId="0608A302" w:rsidR="002C7E82" w:rsidRPr="0072470C" w:rsidRDefault="001337EF" w:rsidP="00B06EFE">
      <w:pPr>
        <w:spacing w:line="276" w:lineRule="auto"/>
        <w:rPr>
          <w:rFonts w:ascii="Arial" w:hAnsi="Arial" w:cs="Arial"/>
          <w:sz w:val="20"/>
          <w:szCs w:val="20"/>
        </w:rPr>
      </w:pPr>
      <w:bookmarkStart w:id="7" w:name="_Hlk65259752"/>
      <w:bookmarkEnd w:id="6"/>
      <w:r w:rsidRPr="0077490B">
        <w:rPr>
          <w:rFonts w:ascii="Arial" w:hAnsi="Arial" w:cs="Arial"/>
          <w:sz w:val="20"/>
          <w:szCs w:val="20"/>
        </w:rPr>
        <w:t>To further investigate the framework</w:t>
      </w:r>
      <w:r w:rsidR="002C7E82" w:rsidRPr="0077490B">
        <w:rPr>
          <w:rFonts w:ascii="Arial" w:hAnsi="Arial" w:cs="Arial"/>
          <w:sz w:val="20"/>
          <w:szCs w:val="20"/>
        </w:rPr>
        <w:t>,</w:t>
      </w:r>
      <w:r w:rsidRPr="0077490B">
        <w:rPr>
          <w:rFonts w:ascii="Arial" w:hAnsi="Arial" w:cs="Arial"/>
          <w:sz w:val="20"/>
          <w:szCs w:val="20"/>
        </w:rPr>
        <w:t xml:space="preserve"> answers of</w:t>
      </w:r>
      <w:r w:rsidR="002C7E82" w:rsidRPr="0077490B">
        <w:rPr>
          <w:rFonts w:ascii="Arial" w:hAnsi="Arial" w:cs="Arial"/>
          <w:sz w:val="20"/>
          <w:szCs w:val="20"/>
        </w:rPr>
        <w:t xml:space="preserve"> N = 609 members of German community-supported agricultures</w:t>
      </w:r>
      <w:r w:rsidR="007107C9" w:rsidRPr="0077490B">
        <w:rPr>
          <w:rFonts w:ascii="Arial" w:hAnsi="Arial" w:cs="Arial"/>
          <w:sz w:val="20"/>
          <w:szCs w:val="20"/>
        </w:rPr>
        <w:t>,</w:t>
      </w:r>
      <w:r w:rsidR="002C7E82" w:rsidRPr="0077490B">
        <w:rPr>
          <w:rFonts w:ascii="Arial" w:hAnsi="Arial" w:cs="Arial"/>
          <w:sz w:val="20"/>
          <w:szCs w:val="20"/>
        </w:rPr>
        <w:t xml:space="preserve"> </w:t>
      </w:r>
      <w:r w:rsidRPr="0077490B">
        <w:rPr>
          <w:rFonts w:ascii="Arial" w:hAnsi="Arial" w:cs="Arial"/>
          <w:sz w:val="20"/>
          <w:szCs w:val="20"/>
        </w:rPr>
        <w:t xml:space="preserve">who reported </w:t>
      </w:r>
      <w:r w:rsidR="002C7E82" w:rsidRPr="0077490B">
        <w:rPr>
          <w:rFonts w:ascii="Arial" w:hAnsi="Arial" w:cs="Arial"/>
          <w:sz w:val="20"/>
          <w:szCs w:val="20"/>
        </w:rPr>
        <w:t>reasons for joining the community in an open answer-format</w:t>
      </w:r>
      <w:r w:rsidRPr="0077490B">
        <w:rPr>
          <w:rFonts w:ascii="Arial" w:hAnsi="Arial" w:cs="Arial"/>
          <w:sz w:val="20"/>
          <w:szCs w:val="20"/>
        </w:rPr>
        <w:t xml:space="preserve">, will be </w:t>
      </w:r>
      <w:r w:rsidR="00A46030" w:rsidRPr="0077490B">
        <w:rPr>
          <w:rFonts w:ascii="Arial" w:hAnsi="Arial" w:cs="Arial"/>
          <w:sz w:val="20"/>
          <w:szCs w:val="20"/>
        </w:rPr>
        <w:t>analyzed</w:t>
      </w:r>
      <w:r w:rsidR="004574B9" w:rsidRPr="0077490B">
        <w:rPr>
          <w:rFonts w:ascii="Arial" w:hAnsi="Arial" w:cs="Arial"/>
          <w:sz w:val="20"/>
          <w:szCs w:val="20"/>
        </w:rPr>
        <w:t xml:space="preserve"> as a next step</w:t>
      </w:r>
      <w:r w:rsidR="002C7E82" w:rsidRPr="0077490B">
        <w:rPr>
          <w:rFonts w:ascii="Arial" w:hAnsi="Arial" w:cs="Arial"/>
          <w:sz w:val="20"/>
          <w:szCs w:val="20"/>
        </w:rPr>
        <w:t>. Based on their responses,</w:t>
      </w:r>
      <w:r w:rsidR="0077432A" w:rsidRPr="0077490B">
        <w:rPr>
          <w:rFonts w:ascii="Arial" w:hAnsi="Arial" w:cs="Arial"/>
          <w:sz w:val="20"/>
          <w:szCs w:val="20"/>
        </w:rPr>
        <w:t xml:space="preserve"> </w:t>
      </w:r>
      <w:r w:rsidRPr="0077490B">
        <w:rPr>
          <w:rFonts w:ascii="Arial" w:hAnsi="Arial" w:cs="Arial"/>
          <w:sz w:val="20"/>
          <w:szCs w:val="20"/>
        </w:rPr>
        <w:t>it is planned to systematically categoriz</w:t>
      </w:r>
      <w:r w:rsidR="00A46030" w:rsidRPr="0077490B">
        <w:rPr>
          <w:rFonts w:ascii="Arial" w:hAnsi="Arial" w:cs="Arial"/>
          <w:sz w:val="20"/>
          <w:szCs w:val="20"/>
        </w:rPr>
        <w:t>e</w:t>
      </w:r>
      <w:r w:rsidRPr="0077490B">
        <w:rPr>
          <w:rFonts w:ascii="Arial" w:hAnsi="Arial" w:cs="Arial"/>
          <w:sz w:val="20"/>
          <w:szCs w:val="20"/>
        </w:rPr>
        <w:t xml:space="preserve"> references to</w:t>
      </w:r>
      <w:r w:rsidR="00A46030" w:rsidRPr="0077490B">
        <w:rPr>
          <w:rFonts w:ascii="Arial" w:hAnsi="Arial" w:cs="Arial"/>
          <w:sz w:val="20"/>
          <w:szCs w:val="20"/>
        </w:rPr>
        <w:t xml:space="preserve"> </w:t>
      </w:r>
      <w:r w:rsidR="002C7E82" w:rsidRPr="0077490B">
        <w:rPr>
          <w:rFonts w:ascii="Arial" w:hAnsi="Arial" w:cs="Arial"/>
          <w:sz w:val="20"/>
          <w:szCs w:val="20"/>
        </w:rPr>
        <w:t>future and past temporal frames</w:t>
      </w:r>
      <w:r w:rsidR="00A46030" w:rsidRPr="0077490B">
        <w:rPr>
          <w:rFonts w:ascii="Arial" w:hAnsi="Arial" w:cs="Arial"/>
          <w:sz w:val="20"/>
          <w:szCs w:val="20"/>
        </w:rPr>
        <w:t xml:space="preserve"> to evaluate the role of these frames for motivations to engage in a</w:t>
      </w:r>
      <w:r w:rsidR="005F4A44" w:rsidRPr="0077490B">
        <w:rPr>
          <w:rFonts w:ascii="Arial" w:hAnsi="Arial" w:cs="Arial"/>
          <w:sz w:val="20"/>
          <w:szCs w:val="20"/>
        </w:rPr>
        <w:t xml:space="preserve"> community-supported agriculture</w:t>
      </w:r>
      <w:r w:rsidR="00A46030" w:rsidRPr="0077490B">
        <w:rPr>
          <w:rFonts w:ascii="Arial" w:hAnsi="Arial" w:cs="Arial"/>
          <w:sz w:val="20"/>
          <w:szCs w:val="20"/>
        </w:rPr>
        <w:t xml:space="preserve">. </w:t>
      </w:r>
      <w:bookmarkStart w:id="8" w:name="_Hlk65259816"/>
      <w:r w:rsidR="002D4E84" w:rsidRPr="0077490B">
        <w:rPr>
          <w:rFonts w:ascii="Arial" w:hAnsi="Arial" w:cs="Arial"/>
          <w:sz w:val="20"/>
          <w:szCs w:val="20"/>
        </w:rPr>
        <w:t xml:space="preserve">Furthermore, these references (e.g. </w:t>
      </w:r>
      <w:proofErr w:type="spellStart"/>
      <w:r w:rsidR="002D4E84" w:rsidRPr="0077490B">
        <w:rPr>
          <w:rFonts w:ascii="Arial" w:hAnsi="Arial" w:cs="Arial"/>
          <w:i/>
          <w:sz w:val="20"/>
          <w:szCs w:val="20"/>
        </w:rPr>
        <w:t>nativeness</w:t>
      </w:r>
      <w:proofErr w:type="spellEnd"/>
      <w:r w:rsidR="002D4E84" w:rsidRPr="0077490B">
        <w:rPr>
          <w:rFonts w:ascii="Arial" w:hAnsi="Arial" w:cs="Arial"/>
          <w:sz w:val="20"/>
          <w:szCs w:val="20"/>
        </w:rPr>
        <w:t xml:space="preserve">, </w:t>
      </w:r>
      <w:r w:rsidR="002D4E84" w:rsidRPr="0077490B">
        <w:rPr>
          <w:rFonts w:ascii="Arial" w:hAnsi="Arial" w:cs="Arial"/>
          <w:i/>
          <w:sz w:val="20"/>
          <w:szCs w:val="20"/>
        </w:rPr>
        <w:t>naturalness</w:t>
      </w:r>
      <w:r w:rsidR="002D4E84" w:rsidRPr="0077490B">
        <w:rPr>
          <w:rFonts w:ascii="Arial" w:hAnsi="Arial" w:cs="Arial"/>
          <w:sz w:val="20"/>
          <w:szCs w:val="20"/>
        </w:rPr>
        <w:t>) will be assessed in the context of the framework.</w:t>
      </w:r>
      <w:bookmarkEnd w:id="8"/>
    </w:p>
    <w:bookmarkEnd w:id="7"/>
    <w:p w14:paraId="33B2B410" w14:textId="4AF9AD1A" w:rsidR="001D4F81" w:rsidRDefault="001D4F81" w:rsidP="004574B9">
      <w:pPr>
        <w:spacing w:line="276" w:lineRule="auto"/>
        <w:rPr>
          <w:rFonts w:ascii="Arial" w:hAnsi="Arial" w:cs="Arial"/>
          <w:sz w:val="20"/>
          <w:szCs w:val="20"/>
        </w:rPr>
      </w:pPr>
      <w:r w:rsidRPr="0072470C">
        <w:rPr>
          <w:rFonts w:ascii="Arial" w:hAnsi="Arial" w:cs="Arial"/>
          <w:sz w:val="20"/>
          <w:szCs w:val="20"/>
        </w:rPr>
        <w:t>T</w:t>
      </w:r>
      <w:r w:rsidR="005F4A44">
        <w:rPr>
          <w:rFonts w:ascii="Arial" w:hAnsi="Arial" w:cs="Arial"/>
          <w:sz w:val="20"/>
          <w:szCs w:val="20"/>
        </w:rPr>
        <w:t>aken together</w:t>
      </w:r>
      <w:r w:rsidRPr="0072470C">
        <w:rPr>
          <w:rFonts w:ascii="Arial" w:hAnsi="Arial" w:cs="Arial"/>
          <w:sz w:val="20"/>
          <w:szCs w:val="20"/>
        </w:rPr>
        <w:t xml:space="preserve">, the </w:t>
      </w:r>
      <w:r w:rsidR="002C7E82" w:rsidRPr="0072470C">
        <w:rPr>
          <w:rFonts w:ascii="Arial" w:hAnsi="Arial" w:cs="Arial"/>
          <w:sz w:val="20"/>
          <w:szCs w:val="20"/>
        </w:rPr>
        <w:t>suggested</w:t>
      </w:r>
      <w:r w:rsidR="008062BA" w:rsidRPr="0072470C">
        <w:rPr>
          <w:rFonts w:ascii="Arial" w:hAnsi="Arial" w:cs="Arial"/>
          <w:sz w:val="20"/>
          <w:szCs w:val="20"/>
        </w:rPr>
        <w:t xml:space="preserve"> study</w:t>
      </w:r>
      <w:r w:rsidRPr="0072470C">
        <w:rPr>
          <w:rFonts w:ascii="Arial" w:hAnsi="Arial" w:cs="Arial"/>
          <w:sz w:val="20"/>
          <w:szCs w:val="20"/>
        </w:rPr>
        <w:t xml:space="preserve"> is unique in</w:t>
      </w:r>
      <w:r w:rsidR="00D10684" w:rsidRPr="0072470C">
        <w:rPr>
          <w:rFonts w:ascii="Arial" w:hAnsi="Arial" w:cs="Arial"/>
          <w:sz w:val="20"/>
          <w:szCs w:val="20"/>
        </w:rPr>
        <w:t xml:space="preserve"> </w:t>
      </w:r>
      <w:r w:rsidR="0072450D" w:rsidRPr="0072470C">
        <w:rPr>
          <w:rFonts w:ascii="Arial" w:hAnsi="Arial" w:cs="Arial"/>
          <w:sz w:val="20"/>
          <w:szCs w:val="20"/>
        </w:rPr>
        <w:t xml:space="preserve">considering the role of </w:t>
      </w:r>
      <w:r w:rsidR="006643D1" w:rsidRPr="0072470C">
        <w:rPr>
          <w:rFonts w:ascii="Arial" w:hAnsi="Arial" w:cs="Arial"/>
          <w:sz w:val="20"/>
          <w:szCs w:val="20"/>
        </w:rPr>
        <w:t>differing</w:t>
      </w:r>
      <w:r w:rsidR="0072450D" w:rsidRPr="0072470C">
        <w:rPr>
          <w:rFonts w:ascii="Arial" w:hAnsi="Arial" w:cs="Arial"/>
          <w:sz w:val="20"/>
          <w:szCs w:val="20"/>
        </w:rPr>
        <w:t xml:space="preserve"> temporal orientation</w:t>
      </w:r>
      <w:r w:rsidR="006643D1" w:rsidRPr="0072470C">
        <w:rPr>
          <w:rFonts w:ascii="Arial" w:hAnsi="Arial" w:cs="Arial"/>
          <w:sz w:val="20"/>
          <w:szCs w:val="20"/>
        </w:rPr>
        <w:t>s, especially</w:t>
      </w:r>
      <w:r w:rsidR="0072450D" w:rsidRPr="0072470C">
        <w:rPr>
          <w:rFonts w:ascii="Arial" w:hAnsi="Arial" w:cs="Arial"/>
          <w:sz w:val="20"/>
          <w:szCs w:val="20"/>
        </w:rPr>
        <w:t xml:space="preserve"> towards the past</w:t>
      </w:r>
      <w:r w:rsidR="006643D1" w:rsidRPr="0072470C">
        <w:rPr>
          <w:rFonts w:ascii="Arial" w:hAnsi="Arial" w:cs="Arial"/>
          <w:sz w:val="20"/>
          <w:szCs w:val="20"/>
        </w:rPr>
        <w:t>,</w:t>
      </w:r>
      <w:r w:rsidR="0072450D" w:rsidRPr="0072470C">
        <w:rPr>
          <w:rFonts w:ascii="Arial" w:hAnsi="Arial" w:cs="Arial"/>
          <w:sz w:val="20"/>
          <w:szCs w:val="20"/>
        </w:rPr>
        <w:t xml:space="preserve"> for motivations behind sustainable engagement. </w:t>
      </w:r>
      <w:r w:rsidR="004574B9" w:rsidRPr="0072470C">
        <w:rPr>
          <w:rFonts w:ascii="Arial" w:hAnsi="Arial" w:cs="Arial"/>
          <w:sz w:val="20"/>
          <w:szCs w:val="20"/>
        </w:rPr>
        <w:t xml:space="preserve">In addition, the influence of temporal perspectives </w:t>
      </w:r>
      <w:r w:rsidR="004574B9">
        <w:rPr>
          <w:rFonts w:ascii="Arial" w:hAnsi="Arial" w:cs="Arial"/>
          <w:sz w:val="20"/>
          <w:szCs w:val="20"/>
        </w:rPr>
        <w:t>is studied</w:t>
      </w:r>
      <w:r w:rsidR="004574B9" w:rsidRPr="0072470C">
        <w:rPr>
          <w:rFonts w:ascii="Arial" w:hAnsi="Arial" w:cs="Arial"/>
          <w:sz w:val="20"/>
          <w:szCs w:val="20"/>
        </w:rPr>
        <w:t xml:space="preserve"> beyond individual differences</w:t>
      </w:r>
      <w:r w:rsidR="004574B9">
        <w:rPr>
          <w:rFonts w:ascii="Arial" w:hAnsi="Arial" w:cs="Arial"/>
          <w:sz w:val="20"/>
          <w:szCs w:val="20"/>
        </w:rPr>
        <w:t>,</w:t>
      </w:r>
      <w:r w:rsidR="004574B9" w:rsidRPr="0072470C">
        <w:rPr>
          <w:rFonts w:ascii="Arial" w:hAnsi="Arial" w:cs="Arial"/>
          <w:sz w:val="20"/>
          <w:szCs w:val="20"/>
        </w:rPr>
        <w:t xml:space="preserve"> in the context of collective engagement in </w:t>
      </w:r>
      <w:r w:rsidR="00F31ED9" w:rsidRPr="0072470C">
        <w:rPr>
          <w:rFonts w:ascii="Arial" w:hAnsi="Arial" w:cs="Arial"/>
          <w:sz w:val="20"/>
          <w:szCs w:val="20"/>
        </w:rPr>
        <w:t>sustainability-oriented transformative communities</w:t>
      </w:r>
      <w:r w:rsidR="004574B9" w:rsidRPr="0072470C">
        <w:rPr>
          <w:rFonts w:ascii="Arial" w:hAnsi="Arial" w:cs="Arial"/>
          <w:sz w:val="20"/>
          <w:szCs w:val="20"/>
        </w:rPr>
        <w:t xml:space="preserve">. </w:t>
      </w:r>
      <w:r w:rsidRPr="0072470C">
        <w:rPr>
          <w:rFonts w:ascii="Arial" w:hAnsi="Arial" w:cs="Arial"/>
          <w:sz w:val="20"/>
          <w:szCs w:val="20"/>
        </w:rPr>
        <w:t xml:space="preserve">Understanding to which degree the </w:t>
      </w:r>
      <w:r w:rsidR="0072450D" w:rsidRPr="0072470C">
        <w:rPr>
          <w:rFonts w:ascii="Arial" w:hAnsi="Arial" w:cs="Arial"/>
          <w:sz w:val="20"/>
          <w:szCs w:val="20"/>
        </w:rPr>
        <w:t>differ</w:t>
      </w:r>
      <w:r w:rsidR="006739BA" w:rsidRPr="0072470C">
        <w:rPr>
          <w:rFonts w:ascii="Arial" w:hAnsi="Arial" w:cs="Arial"/>
          <w:sz w:val="20"/>
          <w:szCs w:val="20"/>
        </w:rPr>
        <w:t>ing</w:t>
      </w:r>
      <w:r w:rsidR="0072450D" w:rsidRPr="0072470C">
        <w:rPr>
          <w:rFonts w:ascii="Arial" w:hAnsi="Arial" w:cs="Arial"/>
          <w:sz w:val="20"/>
          <w:szCs w:val="20"/>
        </w:rPr>
        <w:t xml:space="preserve"> temporal perspectives motivate sustainable engagement provides the basis for strategically employing these perspectives to enhance sustainable</w:t>
      </w:r>
      <w:r w:rsidR="00F31ED9">
        <w:rPr>
          <w:rFonts w:ascii="Arial" w:hAnsi="Arial" w:cs="Arial"/>
          <w:sz w:val="20"/>
          <w:szCs w:val="20"/>
        </w:rPr>
        <w:t xml:space="preserve"> action</w:t>
      </w:r>
      <w:r w:rsidR="0072450D" w:rsidRPr="0072470C">
        <w:rPr>
          <w:rFonts w:ascii="Arial" w:hAnsi="Arial" w:cs="Arial"/>
          <w:sz w:val="20"/>
          <w:szCs w:val="20"/>
        </w:rPr>
        <w:t>, e.g. by applying a certain temporal framing to messages</w:t>
      </w:r>
      <w:r w:rsidR="006739BA" w:rsidRPr="0072470C">
        <w:rPr>
          <w:rFonts w:ascii="Arial" w:hAnsi="Arial" w:cs="Arial"/>
          <w:sz w:val="20"/>
          <w:szCs w:val="20"/>
        </w:rPr>
        <w:t xml:space="preserve"> on sustainability</w:t>
      </w:r>
      <w:r w:rsidR="0072450D" w:rsidRPr="0072470C">
        <w:rPr>
          <w:rFonts w:ascii="Arial" w:hAnsi="Arial" w:cs="Arial"/>
          <w:sz w:val="20"/>
          <w:szCs w:val="20"/>
        </w:rPr>
        <w:t xml:space="preserve"> or in the context of micro-interventions. </w:t>
      </w:r>
    </w:p>
    <w:p w14:paraId="7D7E52B1" w14:textId="77777777" w:rsidR="007E437D" w:rsidRDefault="007E437D" w:rsidP="004574B9">
      <w:pPr>
        <w:spacing w:line="276" w:lineRule="auto"/>
        <w:rPr>
          <w:rFonts w:ascii="Arial" w:hAnsi="Arial" w:cs="Arial"/>
          <w:sz w:val="20"/>
          <w:szCs w:val="20"/>
        </w:rPr>
      </w:pPr>
    </w:p>
    <w:p w14:paraId="2B7B4FA7" w14:textId="54FEECBC" w:rsidR="00BF5B28" w:rsidRDefault="00F31ED9" w:rsidP="00BF5B28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73282B">
        <w:rPr>
          <w:rFonts w:ascii="Arial" w:hAnsi="Arial" w:cs="Arial"/>
          <w:sz w:val="20"/>
          <w:szCs w:val="20"/>
        </w:rPr>
        <w:t>EFERENCES</w:t>
      </w:r>
    </w:p>
    <w:p w14:paraId="57EB0E37" w14:textId="77777777" w:rsidR="00C0241C" w:rsidRDefault="00C0241C" w:rsidP="00B833AB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8B5AFB8" w14:textId="49DB4501" w:rsidR="006638E1" w:rsidRPr="0077490B" w:rsidRDefault="00BF5B28" w:rsidP="006638E1">
      <w:pPr>
        <w:spacing w:after="0" w:line="240" w:lineRule="auto"/>
        <w:ind w:left="709" w:hanging="709"/>
        <w:rPr>
          <w:rFonts w:ascii="Arial" w:eastAsia="LiberationSerif" w:hAnsi="Arial" w:cs="Arial"/>
          <w:sz w:val="20"/>
          <w:szCs w:val="20"/>
        </w:rPr>
      </w:pPr>
      <w:r w:rsidRPr="00BF5B28">
        <w:rPr>
          <w:rFonts w:ascii="Arial" w:eastAsia="LiberationSerif" w:hAnsi="Arial" w:cs="Arial"/>
          <w:sz w:val="20"/>
          <w:szCs w:val="20"/>
        </w:rPr>
        <w:t xml:space="preserve">Ancona, D. G., </w:t>
      </w:r>
      <w:proofErr w:type="spellStart"/>
      <w:r w:rsidRPr="00BF5B28">
        <w:rPr>
          <w:rFonts w:ascii="Arial" w:eastAsia="LiberationSerif" w:hAnsi="Arial" w:cs="Arial"/>
          <w:sz w:val="20"/>
          <w:szCs w:val="20"/>
        </w:rPr>
        <w:t>Okhuysen</w:t>
      </w:r>
      <w:proofErr w:type="spellEnd"/>
      <w:r w:rsidRPr="00BF5B28">
        <w:rPr>
          <w:rFonts w:ascii="Arial" w:eastAsia="LiberationSerif" w:hAnsi="Arial" w:cs="Arial"/>
          <w:sz w:val="20"/>
          <w:szCs w:val="20"/>
        </w:rPr>
        <w:t xml:space="preserve">, G. A., &amp; </w:t>
      </w:r>
      <w:proofErr w:type="spellStart"/>
      <w:r w:rsidRPr="00BF5B28">
        <w:rPr>
          <w:rFonts w:ascii="Arial" w:eastAsia="LiberationSerif" w:hAnsi="Arial" w:cs="Arial"/>
          <w:sz w:val="20"/>
          <w:szCs w:val="20"/>
        </w:rPr>
        <w:t>Perlow</w:t>
      </w:r>
      <w:proofErr w:type="spellEnd"/>
      <w:r w:rsidRPr="00BF5B28">
        <w:rPr>
          <w:rFonts w:ascii="Arial" w:eastAsia="LiberationSerif" w:hAnsi="Arial" w:cs="Arial"/>
          <w:sz w:val="20"/>
          <w:szCs w:val="20"/>
        </w:rPr>
        <w:t xml:space="preserve">, L. A. (2001). Taking time to integrate temporal research. </w:t>
      </w:r>
      <w:r w:rsidRPr="0073282B">
        <w:rPr>
          <w:rFonts w:ascii="Arial" w:eastAsia="LiberationSerif" w:hAnsi="Arial" w:cs="Arial"/>
          <w:i/>
          <w:iCs/>
          <w:sz w:val="20"/>
          <w:szCs w:val="20"/>
        </w:rPr>
        <w:t>Academy of Management Review</w:t>
      </w:r>
      <w:r w:rsidRPr="0073282B">
        <w:rPr>
          <w:rFonts w:ascii="Arial" w:eastAsia="LiberationSerif" w:hAnsi="Arial" w:cs="Arial"/>
          <w:sz w:val="20"/>
          <w:szCs w:val="20"/>
        </w:rPr>
        <w:t xml:space="preserve">, </w:t>
      </w:r>
      <w:r w:rsidRPr="0073282B">
        <w:rPr>
          <w:rFonts w:ascii="Arial" w:eastAsia="LiberationSerif" w:hAnsi="Arial" w:cs="Arial"/>
          <w:i/>
          <w:iCs/>
          <w:sz w:val="20"/>
          <w:szCs w:val="20"/>
        </w:rPr>
        <w:t>26</w:t>
      </w:r>
      <w:r w:rsidRPr="0073282B">
        <w:rPr>
          <w:rFonts w:ascii="Arial" w:eastAsia="LiberationSerif" w:hAnsi="Arial" w:cs="Arial"/>
          <w:sz w:val="20"/>
          <w:szCs w:val="20"/>
        </w:rPr>
        <w:t xml:space="preserve">(4), 512-529. </w:t>
      </w:r>
      <w:r w:rsidR="006638E1" w:rsidRPr="0077490B">
        <w:rPr>
          <w:rFonts w:ascii="Arial" w:eastAsia="LiberationSerif" w:hAnsi="Arial" w:cs="Arial"/>
          <w:sz w:val="20"/>
          <w:szCs w:val="20"/>
        </w:rPr>
        <w:t>https://doi.org/10.5465/amr.2001.5393887</w:t>
      </w:r>
    </w:p>
    <w:p w14:paraId="4A7E3388" w14:textId="77777777" w:rsidR="006638E1" w:rsidRPr="0077490B" w:rsidRDefault="006638E1" w:rsidP="006638E1">
      <w:pPr>
        <w:spacing w:after="0" w:line="240" w:lineRule="auto"/>
        <w:ind w:left="709" w:hanging="709"/>
        <w:rPr>
          <w:rFonts w:ascii="Arial" w:eastAsia="LiberationSerif" w:hAnsi="Arial" w:cs="Arial"/>
          <w:sz w:val="20"/>
          <w:szCs w:val="20"/>
        </w:rPr>
      </w:pPr>
    </w:p>
    <w:p w14:paraId="62185BC3" w14:textId="1BE3EE56" w:rsidR="00277A23" w:rsidRPr="006638E1" w:rsidRDefault="006638E1" w:rsidP="006638E1">
      <w:pPr>
        <w:spacing w:after="0" w:line="240" w:lineRule="auto"/>
        <w:ind w:left="709" w:hanging="709"/>
        <w:rPr>
          <w:rFonts w:ascii="Arial" w:eastAsia="LiberationSerif" w:hAnsi="Arial" w:cs="Arial"/>
          <w:sz w:val="20"/>
          <w:szCs w:val="20"/>
        </w:rPr>
      </w:pPr>
      <w:bookmarkStart w:id="9" w:name="_Hlk65259854"/>
      <w:proofErr w:type="spellStart"/>
      <w:r w:rsidRPr="0077490B">
        <w:rPr>
          <w:rFonts w:ascii="Arial" w:hAnsi="Arial" w:cs="Arial"/>
          <w:sz w:val="20"/>
          <w:szCs w:val="20"/>
        </w:rPr>
        <w:t>Autio</w:t>
      </w:r>
      <w:proofErr w:type="spellEnd"/>
      <w:r w:rsidRPr="0077490B">
        <w:rPr>
          <w:rFonts w:ascii="Arial" w:hAnsi="Arial" w:cs="Arial"/>
          <w:sz w:val="20"/>
          <w:szCs w:val="20"/>
        </w:rPr>
        <w:t xml:space="preserve">, M., Collins, R., </w:t>
      </w:r>
      <w:proofErr w:type="spellStart"/>
      <w:r w:rsidRPr="0077490B">
        <w:rPr>
          <w:rFonts w:ascii="Arial" w:hAnsi="Arial" w:cs="Arial"/>
          <w:sz w:val="20"/>
          <w:szCs w:val="20"/>
        </w:rPr>
        <w:t>Wahlen</w:t>
      </w:r>
      <w:proofErr w:type="spellEnd"/>
      <w:r w:rsidRPr="0077490B">
        <w:rPr>
          <w:rFonts w:ascii="Arial" w:hAnsi="Arial" w:cs="Arial"/>
          <w:sz w:val="20"/>
          <w:szCs w:val="20"/>
        </w:rPr>
        <w:t xml:space="preserve">, S., &amp; </w:t>
      </w:r>
      <w:proofErr w:type="spellStart"/>
      <w:r w:rsidRPr="0077490B">
        <w:rPr>
          <w:rFonts w:ascii="Arial" w:hAnsi="Arial" w:cs="Arial"/>
          <w:sz w:val="20"/>
          <w:szCs w:val="20"/>
        </w:rPr>
        <w:t>Anttila</w:t>
      </w:r>
      <w:proofErr w:type="spellEnd"/>
      <w:r w:rsidRPr="0077490B">
        <w:rPr>
          <w:rFonts w:ascii="Arial" w:hAnsi="Arial" w:cs="Arial"/>
          <w:sz w:val="20"/>
          <w:szCs w:val="20"/>
        </w:rPr>
        <w:t xml:space="preserve">, M. (2013). </w:t>
      </w:r>
      <w:r w:rsidRPr="006638E1">
        <w:rPr>
          <w:rFonts w:ascii="Arial" w:hAnsi="Arial" w:cs="Arial"/>
          <w:sz w:val="20"/>
          <w:szCs w:val="20"/>
        </w:rPr>
        <w:t xml:space="preserve">Consuming nostalgia? The appreciation of authenticity in local food production. </w:t>
      </w:r>
      <w:r w:rsidRPr="006638E1">
        <w:rPr>
          <w:rFonts w:ascii="Arial" w:hAnsi="Arial" w:cs="Arial"/>
          <w:i/>
          <w:iCs/>
          <w:sz w:val="20"/>
          <w:szCs w:val="20"/>
        </w:rPr>
        <w:t>International Journal of Consumer Studies</w:t>
      </w:r>
      <w:r w:rsidRPr="006638E1">
        <w:rPr>
          <w:rFonts w:ascii="Arial" w:hAnsi="Arial" w:cs="Arial"/>
          <w:sz w:val="20"/>
          <w:szCs w:val="20"/>
        </w:rPr>
        <w:t xml:space="preserve">, </w:t>
      </w:r>
      <w:r w:rsidRPr="006638E1">
        <w:rPr>
          <w:rFonts w:ascii="Arial" w:hAnsi="Arial" w:cs="Arial"/>
          <w:i/>
          <w:iCs/>
          <w:sz w:val="20"/>
          <w:szCs w:val="20"/>
        </w:rPr>
        <w:t>37</w:t>
      </w:r>
      <w:r w:rsidRPr="006638E1">
        <w:rPr>
          <w:rFonts w:ascii="Arial" w:hAnsi="Arial" w:cs="Arial"/>
          <w:sz w:val="20"/>
          <w:szCs w:val="20"/>
        </w:rPr>
        <w:t>(5), 564-568.</w:t>
      </w:r>
      <w:r w:rsidR="00BF5B28" w:rsidRPr="006638E1">
        <w:rPr>
          <w:rFonts w:ascii="Arial" w:eastAsia="LiberationSerif" w:hAnsi="Arial" w:cs="Arial"/>
          <w:sz w:val="18"/>
          <w:szCs w:val="18"/>
        </w:rPr>
        <w:t xml:space="preserve"> </w:t>
      </w:r>
      <w:r w:rsidRPr="006638E1">
        <w:rPr>
          <w:rFonts w:ascii="Arial" w:hAnsi="Arial" w:cs="Arial"/>
          <w:sz w:val="20"/>
          <w:szCs w:val="20"/>
        </w:rPr>
        <w:t>https://doi.org/10.1111/ijcs.12029</w:t>
      </w:r>
    </w:p>
    <w:p w14:paraId="1FCB4678" w14:textId="77777777" w:rsidR="00277A23" w:rsidRDefault="00277A23" w:rsidP="00277A23">
      <w:pPr>
        <w:spacing w:after="0" w:line="240" w:lineRule="auto"/>
        <w:ind w:left="709" w:hanging="709"/>
        <w:rPr>
          <w:rFonts w:ascii="Arial" w:eastAsia="LiberationSerif" w:hAnsi="Arial" w:cs="Arial"/>
          <w:sz w:val="20"/>
          <w:szCs w:val="20"/>
        </w:rPr>
      </w:pPr>
    </w:p>
    <w:p w14:paraId="359EFBCC" w14:textId="3058891C" w:rsidR="00277A23" w:rsidRDefault="00277A23" w:rsidP="00277A23">
      <w:pPr>
        <w:spacing w:after="0" w:line="240" w:lineRule="auto"/>
        <w:ind w:left="709" w:hanging="709"/>
        <w:rPr>
          <w:rStyle w:val="highwire-cite-metadata-doi"/>
          <w:sz w:val="20"/>
          <w:szCs w:val="20"/>
        </w:rPr>
      </w:pPr>
      <w:r w:rsidRPr="00277A23">
        <w:rPr>
          <w:rFonts w:ascii="Arial" w:eastAsia="Times New Roman" w:hAnsi="Arial" w:cs="Arial"/>
          <w:sz w:val="20"/>
          <w:szCs w:val="20"/>
          <w:lang w:eastAsia="de-DE"/>
        </w:rPr>
        <w:t xml:space="preserve">Baldwin, M., &amp; Lammers, J. (2016). Past-focused environmental comparisons promote </w:t>
      </w:r>
      <w:proofErr w:type="spellStart"/>
      <w:r w:rsidRPr="00277A23">
        <w:rPr>
          <w:rFonts w:ascii="Arial" w:eastAsia="Times New Roman" w:hAnsi="Arial" w:cs="Arial"/>
          <w:sz w:val="20"/>
          <w:szCs w:val="20"/>
          <w:lang w:eastAsia="de-DE"/>
        </w:rPr>
        <w:t>proenvironmental</w:t>
      </w:r>
      <w:proofErr w:type="spellEnd"/>
      <w:r w:rsidRPr="00277A23">
        <w:rPr>
          <w:rFonts w:ascii="Arial" w:eastAsia="Times New Roman" w:hAnsi="Arial" w:cs="Arial"/>
          <w:sz w:val="20"/>
          <w:szCs w:val="20"/>
          <w:lang w:eastAsia="de-DE"/>
        </w:rPr>
        <w:t xml:space="preserve"> outcomes for conservatives. </w:t>
      </w:r>
      <w:r w:rsidRPr="00277A23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Proceedings of the National Academy of Sciences</w:t>
      </w:r>
      <w:r w:rsidRPr="00277A23"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r w:rsidRPr="00277A23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113</w:t>
      </w:r>
      <w:r w:rsidRPr="00277A23">
        <w:rPr>
          <w:rFonts w:ascii="Arial" w:eastAsia="Times New Roman" w:hAnsi="Arial" w:cs="Arial"/>
          <w:sz w:val="20"/>
          <w:szCs w:val="20"/>
          <w:lang w:eastAsia="de-DE"/>
        </w:rPr>
        <w:t>(52), 14953-14957.</w:t>
      </w:r>
      <w:r w:rsidR="00F8630C" w:rsidRPr="006638E1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8630C" w:rsidRPr="00F8630C">
        <w:rPr>
          <w:rStyle w:val="highwire-cite-metadata-doi"/>
          <w:rFonts w:ascii="Arial" w:hAnsi="Arial" w:cs="Arial"/>
          <w:sz w:val="20"/>
          <w:szCs w:val="20"/>
        </w:rPr>
        <w:t>https://doi.org/10.1073/pnas.1610834113</w:t>
      </w:r>
      <w:r w:rsidR="00F8630C" w:rsidRPr="00F8630C">
        <w:rPr>
          <w:rStyle w:val="highwire-cite-metadata-doi"/>
          <w:sz w:val="20"/>
          <w:szCs w:val="20"/>
        </w:rPr>
        <w:t xml:space="preserve"> </w:t>
      </w:r>
    </w:p>
    <w:bookmarkEnd w:id="9"/>
    <w:p w14:paraId="4F90B656" w14:textId="7DAFDFCC" w:rsidR="00715059" w:rsidRDefault="00715059" w:rsidP="00277A23">
      <w:pPr>
        <w:spacing w:after="0" w:line="240" w:lineRule="auto"/>
        <w:ind w:left="709" w:hanging="709"/>
        <w:rPr>
          <w:rStyle w:val="highwire-cite-metadata-doi"/>
          <w:sz w:val="20"/>
          <w:szCs w:val="20"/>
        </w:rPr>
      </w:pPr>
    </w:p>
    <w:p w14:paraId="5F299E27" w14:textId="0BDE87A9" w:rsidR="00715059" w:rsidRPr="00715059" w:rsidRDefault="00715059" w:rsidP="00715059">
      <w:pPr>
        <w:autoSpaceDE w:val="0"/>
        <w:autoSpaceDN w:val="0"/>
        <w:adjustRightInd w:val="0"/>
        <w:spacing w:after="60"/>
        <w:ind w:left="283" w:hanging="283"/>
        <w:rPr>
          <w:rFonts w:ascii="Arial" w:hAnsi="Arial" w:cs="Arial"/>
          <w:bCs/>
          <w:sz w:val="20"/>
          <w:szCs w:val="20"/>
        </w:rPr>
      </w:pPr>
      <w:proofErr w:type="spellStart"/>
      <w:r w:rsidRPr="00BF5B28">
        <w:rPr>
          <w:rFonts w:ascii="Arial" w:hAnsi="Arial" w:cs="Arial"/>
          <w:bCs/>
          <w:sz w:val="20"/>
          <w:szCs w:val="20"/>
        </w:rPr>
        <w:t>Bluedorn</w:t>
      </w:r>
      <w:proofErr w:type="spellEnd"/>
      <w:r w:rsidRPr="00BF5B28">
        <w:rPr>
          <w:rFonts w:ascii="Arial" w:hAnsi="Arial" w:cs="Arial"/>
          <w:bCs/>
          <w:sz w:val="20"/>
          <w:szCs w:val="20"/>
        </w:rPr>
        <w:t xml:space="preserve">, A. C., &amp; Denhardt, R. B. (1988). Time and organizations. </w:t>
      </w:r>
      <w:r w:rsidRPr="0073282B">
        <w:rPr>
          <w:rFonts w:ascii="Arial" w:hAnsi="Arial" w:cs="Arial"/>
          <w:bCs/>
          <w:i/>
          <w:sz w:val="20"/>
          <w:szCs w:val="20"/>
        </w:rPr>
        <w:t>Journal of Management</w:t>
      </w:r>
      <w:r w:rsidRPr="0073282B">
        <w:rPr>
          <w:rFonts w:ascii="Arial" w:hAnsi="Arial" w:cs="Arial"/>
          <w:bCs/>
          <w:sz w:val="20"/>
          <w:szCs w:val="20"/>
        </w:rPr>
        <w:t>, 14(2), 299–320. https://doi.org/10.1177/014920638801400209</w:t>
      </w:r>
    </w:p>
    <w:p w14:paraId="6E320A08" w14:textId="77777777" w:rsidR="00BF5B28" w:rsidRPr="0073282B" w:rsidRDefault="00BF5B28" w:rsidP="00BF5B28">
      <w:pPr>
        <w:spacing w:after="0" w:line="240" w:lineRule="auto"/>
        <w:ind w:left="709" w:hanging="709"/>
        <w:rPr>
          <w:rFonts w:ascii="Arial" w:eastAsia="LiberationSerif" w:hAnsi="Arial" w:cs="Arial"/>
          <w:sz w:val="20"/>
          <w:szCs w:val="20"/>
        </w:rPr>
      </w:pPr>
    </w:p>
    <w:p w14:paraId="0AE4ABCD" w14:textId="3460053D" w:rsidR="00380499" w:rsidRDefault="00BF5B28" w:rsidP="00380499">
      <w:pPr>
        <w:spacing w:after="0" w:line="240" w:lineRule="auto"/>
        <w:ind w:left="709" w:hanging="709"/>
        <w:rPr>
          <w:rFonts w:ascii="Arial" w:eastAsia="LiberationSerif" w:hAnsi="Arial" w:cs="Arial"/>
          <w:sz w:val="20"/>
          <w:szCs w:val="20"/>
        </w:rPr>
      </w:pPr>
      <w:r w:rsidRPr="0073282B">
        <w:rPr>
          <w:rFonts w:ascii="Arial" w:eastAsia="LiberationSerif" w:hAnsi="Arial" w:cs="Arial"/>
          <w:sz w:val="20"/>
          <w:szCs w:val="20"/>
        </w:rPr>
        <w:t xml:space="preserve">Brundtland, G. H. (1987). </w:t>
      </w:r>
      <w:r w:rsidRPr="00C0241C">
        <w:rPr>
          <w:rFonts w:ascii="Arial" w:eastAsia="LiberationSerif" w:hAnsi="Arial" w:cs="Arial"/>
          <w:i/>
          <w:iCs/>
          <w:sz w:val="20"/>
          <w:szCs w:val="20"/>
        </w:rPr>
        <w:t>Report of the World Commission on Environment and</w:t>
      </w:r>
      <w:r>
        <w:rPr>
          <w:rFonts w:ascii="Arial" w:hAnsi="Arial" w:cs="Arial"/>
          <w:sz w:val="20"/>
          <w:szCs w:val="20"/>
        </w:rPr>
        <w:t xml:space="preserve"> </w:t>
      </w:r>
      <w:r w:rsidRPr="00C0241C">
        <w:rPr>
          <w:rFonts w:ascii="Arial" w:eastAsia="LiberationSerif" w:hAnsi="Arial" w:cs="Arial"/>
          <w:i/>
          <w:iCs/>
          <w:sz w:val="20"/>
          <w:szCs w:val="20"/>
        </w:rPr>
        <w:t xml:space="preserve">Development: Our common future </w:t>
      </w:r>
      <w:r w:rsidRPr="00C0241C">
        <w:rPr>
          <w:rFonts w:ascii="Arial" w:eastAsia="LiberationSerif" w:hAnsi="Arial" w:cs="Arial"/>
          <w:sz w:val="20"/>
          <w:szCs w:val="20"/>
        </w:rPr>
        <w:t>(United Nations General Assembly Document</w:t>
      </w:r>
      <w:r>
        <w:rPr>
          <w:rFonts w:ascii="Arial" w:hAnsi="Arial" w:cs="Arial"/>
          <w:sz w:val="20"/>
          <w:szCs w:val="20"/>
        </w:rPr>
        <w:t xml:space="preserve"> </w:t>
      </w:r>
      <w:r w:rsidRPr="00C0241C">
        <w:rPr>
          <w:rFonts w:ascii="Arial" w:eastAsia="LiberationSerif" w:hAnsi="Arial" w:cs="Arial"/>
          <w:sz w:val="20"/>
          <w:szCs w:val="20"/>
        </w:rPr>
        <w:t xml:space="preserve">A/42/427). </w:t>
      </w:r>
      <w:r w:rsidR="00715059" w:rsidRPr="00715059">
        <w:rPr>
          <w:rFonts w:ascii="Arial" w:eastAsia="LiberationSerif" w:hAnsi="Arial" w:cs="Arial"/>
          <w:sz w:val="20"/>
          <w:szCs w:val="20"/>
        </w:rPr>
        <w:t>https://sustainabledevelopment.un.org/content/documents/5987ourcommon-future.pdf</w:t>
      </w:r>
    </w:p>
    <w:p w14:paraId="32A59E8C" w14:textId="71CDF0AA" w:rsidR="00715059" w:rsidRDefault="00715059" w:rsidP="00380499">
      <w:pPr>
        <w:spacing w:after="0" w:line="240" w:lineRule="auto"/>
        <w:ind w:left="709" w:hanging="709"/>
        <w:rPr>
          <w:rFonts w:ascii="Arial" w:eastAsia="LiberationSerif" w:hAnsi="Arial" w:cs="Arial"/>
          <w:sz w:val="20"/>
          <w:szCs w:val="20"/>
        </w:rPr>
      </w:pPr>
    </w:p>
    <w:p w14:paraId="0496A6D1" w14:textId="309A1D7D" w:rsidR="00715059" w:rsidRPr="00715059" w:rsidRDefault="00715059" w:rsidP="00715059">
      <w:pPr>
        <w:spacing w:after="0" w:line="240" w:lineRule="auto"/>
        <w:ind w:left="709" w:hanging="709"/>
        <w:rPr>
          <w:rFonts w:ascii="Arial" w:hAnsi="Arial" w:cs="Arial"/>
          <w:sz w:val="20"/>
          <w:szCs w:val="20"/>
        </w:rPr>
      </w:pPr>
      <w:r w:rsidRPr="00380499">
        <w:rPr>
          <w:rFonts w:ascii="Arial" w:hAnsi="Arial" w:cs="Arial"/>
          <w:sz w:val="20"/>
          <w:szCs w:val="20"/>
        </w:rPr>
        <w:t xml:space="preserve">Butler, R. (1995). Time in Organizations: Its Experience, Explanations and Effects. </w:t>
      </w:r>
      <w:r w:rsidRPr="0073282B">
        <w:rPr>
          <w:rFonts w:ascii="Arial" w:hAnsi="Arial" w:cs="Arial"/>
          <w:i/>
          <w:sz w:val="20"/>
          <w:szCs w:val="20"/>
        </w:rPr>
        <w:t>Organization Studies, 16</w:t>
      </w:r>
      <w:r w:rsidRPr="0073282B">
        <w:rPr>
          <w:rFonts w:ascii="Arial" w:hAnsi="Arial" w:cs="Arial"/>
          <w:sz w:val="20"/>
          <w:szCs w:val="20"/>
        </w:rPr>
        <w:t xml:space="preserve">(6), 925-950. </w:t>
      </w:r>
      <w:r w:rsidRPr="00E50F13">
        <w:rPr>
          <w:rFonts w:ascii="Arial" w:hAnsi="Arial" w:cs="Arial"/>
          <w:sz w:val="20"/>
          <w:szCs w:val="20"/>
        </w:rPr>
        <w:t>https://doi.org/10.1177/017084069501600601</w:t>
      </w:r>
    </w:p>
    <w:p w14:paraId="63A0D17A" w14:textId="77777777" w:rsidR="00E50F13" w:rsidRPr="0073282B" w:rsidRDefault="00E50F13" w:rsidP="00277A2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B728B92" w14:textId="77777777" w:rsidR="00E50F13" w:rsidRPr="0073282B" w:rsidRDefault="00E50F13" w:rsidP="00E50F13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E50F13">
        <w:rPr>
          <w:rFonts w:ascii="Arial" w:eastAsia="Times New Roman" w:hAnsi="Arial" w:cs="Arial"/>
          <w:sz w:val="20"/>
          <w:szCs w:val="20"/>
          <w:lang w:eastAsia="de-DE"/>
        </w:rPr>
        <w:t xml:space="preserve">Corral-Verdugo, V., </w:t>
      </w:r>
      <w:proofErr w:type="spellStart"/>
      <w:r w:rsidRPr="00E50F13">
        <w:rPr>
          <w:rFonts w:ascii="Arial" w:eastAsia="Times New Roman" w:hAnsi="Arial" w:cs="Arial"/>
          <w:sz w:val="20"/>
          <w:szCs w:val="20"/>
          <w:lang w:eastAsia="de-DE"/>
        </w:rPr>
        <w:t>Fraijo</w:t>
      </w:r>
      <w:proofErr w:type="spellEnd"/>
      <w:r w:rsidRPr="00E50F13">
        <w:rPr>
          <w:rFonts w:ascii="Arial" w:eastAsia="Times New Roman" w:hAnsi="Arial" w:cs="Arial"/>
          <w:sz w:val="20"/>
          <w:szCs w:val="20"/>
          <w:lang w:eastAsia="de-DE"/>
        </w:rPr>
        <w:t xml:space="preserve">-Sing, B., &amp; Pinheiro, J. Q. (2006). Sustainable behavior and time perspective: Present, past, and future orientations and their relationship with water conservation behavior. </w:t>
      </w:r>
      <w:r w:rsidRPr="0073282B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Interamerican Journal of Psychology</w:t>
      </w:r>
      <w:r w:rsidRPr="0073282B"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r w:rsidRPr="0073282B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40</w:t>
      </w:r>
      <w:r w:rsidRPr="0073282B">
        <w:rPr>
          <w:rFonts w:ascii="Arial" w:eastAsia="Times New Roman" w:hAnsi="Arial" w:cs="Arial"/>
          <w:sz w:val="20"/>
          <w:szCs w:val="20"/>
          <w:lang w:eastAsia="de-DE"/>
        </w:rPr>
        <w:t>(2), 139-147.</w:t>
      </w:r>
    </w:p>
    <w:p w14:paraId="6BD1B9A4" w14:textId="77777777" w:rsidR="00E50F13" w:rsidRPr="0073282B" w:rsidRDefault="00E50F13" w:rsidP="00E50F13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</w:p>
    <w:p w14:paraId="70BB2D69" w14:textId="3F06D08D" w:rsidR="00E50F13" w:rsidRPr="0073282B" w:rsidRDefault="00E50F13" w:rsidP="00E50F13">
      <w:pPr>
        <w:spacing w:after="0" w:line="240" w:lineRule="auto"/>
        <w:ind w:left="709" w:hanging="709"/>
        <w:rPr>
          <w:rFonts w:ascii="Arial" w:eastAsia="Times New Roman" w:hAnsi="Arial" w:cs="Arial"/>
          <w:sz w:val="16"/>
          <w:szCs w:val="16"/>
          <w:lang w:eastAsia="de-DE"/>
        </w:rPr>
      </w:pPr>
      <w:proofErr w:type="spellStart"/>
      <w:r w:rsidRPr="00E50F13">
        <w:rPr>
          <w:rFonts w:ascii="Arial" w:eastAsia="Times New Roman" w:hAnsi="Arial" w:cs="Arial"/>
          <w:sz w:val="20"/>
          <w:szCs w:val="20"/>
          <w:lang w:eastAsia="de-DE"/>
        </w:rPr>
        <w:t>Ebreo</w:t>
      </w:r>
      <w:proofErr w:type="spellEnd"/>
      <w:r w:rsidRPr="00E50F13">
        <w:rPr>
          <w:rFonts w:ascii="Arial" w:eastAsia="Times New Roman" w:hAnsi="Arial" w:cs="Arial"/>
          <w:sz w:val="20"/>
          <w:szCs w:val="20"/>
          <w:lang w:eastAsia="de-DE"/>
        </w:rPr>
        <w:t xml:space="preserve">, A., &amp; Vining, J. (2001). How similar are recycling and waste reduction? Future orientation and reasons for reducing waste as predictors of self-reported behavior. </w:t>
      </w:r>
      <w:r w:rsidRPr="0073282B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Environment and Behavior</w:t>
      </w:r>
      <w:r w:rsidRPr="0073282B"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r w:rsidRPr="0073282B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33</w:t>
      </w:r>
      <w:r w:rsidRPr="0073282B">
        <w:rPr>
          <w:rFonts w:ascii="Arial" w:eastAsia="Times New Roman" w:hAnsi="Arial" w:cs="Arial"/>
          <w:sz w:val="20"/>
          <w:szCs w:val="20"/>
          <w:lang w:eastAsia="de-DE"/>
        </w:rPr>
        <w:t>(3), 424-448.</w:t>
      </w:r>
      <w:r w:rsidR="00693CDB" w:rsidRPr="0073282B">
        <w:rPr>
          <w:rFonts w:ascii="Arial" w:eastAsia="Times New Roman" w:hAnsi="Arial" w:cs="Arial"/>
          <w:sz w:val="20"/>
          <w:szCs w:val="20"/>
          <w:lang w:eastAsia="de-DE"/>
        </w:rPr>
        <w:t xml:space="preserve"> https://doi.org/10.1177/00139160121973061</w:t>
      </w:r>
    </w:p>
    <w:p w14:paraId="10C9F9C2" w14:textId="77777777" w:rsidR="00C95ED7" w:rsidRPr="0073282B" w:rsidRDefault="00C95ED7" w:rsidP="00C95ED7">
      <w:pPr>
        <w:spacing w:after="0" w:line="240" w:lineRule="auto"/>
        <w:ind w:left="709" w:hanging="709"/>
        <w:rPr>
          <w:rFonts w:ascii="Arial" w:hAnsi="Arial" w:cs="Arial"/>
          <w:sz w:val="20"/>
          <w:szCs w:val="20"/>
        </w:rPr>
      </w:pPr>
    </w:p>
    <w:p w14:paraId="578E852D" w14:textId="746E3DAF" w:rsidR="00277A23" w:rsidRDefault="00C95ED7" w:rsidP="00277A23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73282B">
        <w:rPr>
          <w:rFonts w:ascii="Arial" w:eastAsia="Times New Roman" w:hAnsi="Arial" w:cs="Arial"/>
          <w:sz w:val="20"/>
          <w:szCs w:val="20"/>
          <w:lang w:eastAsia="de-DE"/>
        </w:rPr>
        <w:t>Karniol</w:t>
      </w:r>
      <w:proofErr w:type="spellEnd"/>
      <w:r w:rsidRPr="0073282B">
        <w:rPr>
          <w:rFonts w:ascii="Arial" w:eastAsia="Times New Roman" w:hAnsi="Arial" w:cs="Arial"/>
          <w:sz w:val="20"/>
          <w:szCs w:val="20"/>
          <w:lang w:eastAsia="de-DE"/>
        </w:rPr>
        <w:t xml:space="preserve">, R., &amp; Ross, M. (1996). </w:t>
      </w:r>
      <w:r w:rsidRPr="00C95ED7">
        <w:rPr>
          <w:rFonts w:ascii="Arial" w:eastAsia="Times New Roman" w:hAnsi="Arial" w:cs="Arial"/>
          <w:sz w:val="20"/>
          <w:szCs w:val="20"/>
          <w:lang w:eastAsia="de-DE"/>
        </w:rPr>
        <w:t xml:space="preserve">The motivational impact of temporal focus: Thinking about the future and the past. </w:t>
      </w:r>
      <w:r w:rsidRPr="0073282B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Annual review of psychology</w:t>
      </w:r>
      <w:r w:rsidRPr="0073282B"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r w:rsidRPr="0073282B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47</w:t>
      </w:r>
      <w:r w:rsidRPr="0073282B">
        <w:rPr>
          <w:rFonts w:ascii="Arial" w:eastAsia="Times New Roman" w:hAnsi="Arial" w:cs="Arial"/>
          <w:sz w:val="20"/>
          <w:szCs w:val="20"/>
          <w:lang w:eastAsia="de-DE"/>
        </w:rPr>
        <w:t xml:space="preserve">(1), 593-620. </w:t>
      </w:r>
      <w:r w:rsidR="00277A23" w:rsidRPr="00277A23">
        <w:rPr>
          <w:rFonts w:ascii="Arial" w:hAnsi="Arial" w:cs="Arial"/>
          <w:sz w:val="20"/>
          <w:szCs w:val="20"/>
        </w:rPr>
        <w:t>https://doi.org/</w:t>
      </w:r>
      <w:r w:rsidR="00277A23" w:rsidRPr="00277A23">
        <w:rPr>
          <w:rFonts w:ascii="Arial" w:eastAsia="Times New Roman" w:hAnsi="Arial" w:cs="Arial"/>
          <w:sz w:val="20"/>
          <w:szCs w:val="20"/>
          <w:lang w:eastAsia="de-DE"/>
        </w:rPr>
        <w:t>10.1146/annurev.psych.47.1.593</w:t>
      </w:r>
      <w:r w:rsidRPr="0073282B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14:paraId="444169F8" w14:textId="1C8B31A0" w:rsidR="00715059" w:rsidRDefault="00715059" w:rsidP="00277A23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2FB9B7F" w14:textId="0C7117CB" w:rsidR="00715059" w:rsidRPr="00715059" w:rsidRDefault="00715059" w:rsidP="00715059">
      <w:pPr>
        <w:spacing w:after="0" w:line="240" w:lineRule="auto"/>
        <w:ind w:left="709" w:hanging="709"/>
        <w:rPr>
          <w:rFonts w:ascii="Arial" w:hAnsi="Arial" w:cs="Arial"/>
          <w:bCs/>
          <w:sz w:val="20"/>
          <w:szCs w:val="20"/>
        </w:rPr>
      </w:pPr>
      <w:proofErr w:type="spellStart"/>
      <w:r w:rsidRPr="0077490B">
        <w:rPr>
          <w:rFonts w:ascii="Arial" w:hAnsi="Arial" w:cs="Arial"/>
          <w:bCs/>
          <w:sz w:val="20"/>
          <w:szCs w:val="20"/>
        </w:rPr>
        <w:t>Kunisch</w:t>
      </w:r>
      <w:proofErr w:type="spellEnd"/>
      <w:r w:rsidRPr="0077490B">
        <w:rPr>
          <w:rFonts w:ascii="Arial" w:hAnsi="Arial" w:cs="Arial"/>
          <w:bCs/>
          <w:sz w:val="20"/>
          <w:szCs w:val="20"/>
        </w:rPr>
        <w:t xml:space="preserve">, S., </w:t>
      </w:r>
      <w:proofErr w:type="spellStart"/>
      <w:r w:rsidRPr="0077490B">
        <w:rPr>
          <w:rFonts w:ascii="Arial" w:hAnsi="Arial" w:cs="Arial"/>
          <w:bCs/>
          <w:sz w:val="20"/>
          <w:szCs w:val="20"/>
        </w:rPr>
        <w:t>Bartunek</w:t>
      </w:r>
      <w:proofErr w:type="spellEnd"/>
      <w:r w:rsidRPr="0077490B">
        <w:rPr>
          <w:rFonts w:ascii="Arial" w:hAnsi="Arial" w:cs="Arial"/>
          <w:bCs/>
          <w:sz w:val="20"/>
          <w:szCs w:val="20"/>
        </w:rPr>
        <w:t xml:space="preserve">, J. M., Mueller, J., &amp; </w:t>
      </w:r>
      <w:proofErr w:type="spellStart"/>
      <w:r w:rsidRPr="0077490B">
        <w:rPr>
          <w:rFonts w:ascii="Arial" w:hAnsi="Arial" w:cs="Arial"/>
          <w:bCs/>
          <w:sz w:val="20"/>
          <w:szCs w:val="20"/>
        </w:rPr>
        <w:t>Huy</w:t>
      </w:r>
      <w:proofErr w:type="spellEnd"/>
      <w:r w:rsidRPr="0077490B">
        <w:rPr>
          <w:rFonts w:ascii="Arial" w:hAnsi="Arial" w:cs="Arial"/>
          <w:bCs/>
          <w:sz w:val="20"/>
          <w:szCs w:val="20"/>
        </w:rPr>
        <w:t xml:space="preserve">, Q. N. (2017). </w:t>
      </w:r>
      <w:r w:rsidRPr="00BF5B28">
        <w:rPr>
          <w:rFonts w:ascii="Arial" w:hAnsi="Arial" w:cs="Arial"/>
          <w:bCs/>
          <w:sz w:val="20"/>
          <w:szCs w:val="20"/>
        </w:rPr>
        <w:t xml:space="preserve">Time in Strategic Change Research. </w:t>
      </w:r>
      <w:r w:rsidRPr="0073282B">
        <w:rPr>
          <w:rFonts w:ascii="Arial" w:hAnsi="Arial" w:cs="Arial"/>
          <w:bCs/>
          <w:i/>
          <w:sz w:val="20"/>
          <w:szCs w:val="20"/>
        </w:rPr>
        <w:t>Academy of Management Annals</w:t>
      </w:r>
      <w:r w:rsidRPr="0073282B">
        <w:rPr>
          <w:rFonts w:ascii="Arial" w:hAnsi="Arial" w:cs="Arial"/>
          <w:bCs/>
          <w:sz w:val="20"/>
          <w:szCs w:val="20"/>
        </w:rPr>
        <w:t xml:space="preserve">, </w:t>
      </w:r>
      <w:r w:rsidRPr="0073282B">
        <w:rPr>
          <w:rFonts w:ascii="Arial" w:hAnsi="Arial" w:cs="Arial"/>
          <w:bCs/>
          <w:i/>
          <w:sz w:val="20"/>
          <w:szCs w:val="20"/>
        </w:rPr>
        <w:t>11</w:t>
      </w:r>
      <w:r w:rsidRPr="0073282B">
        <w:rPr>
          <w:rFonts w:ascii="Arial" w:hAnsi="Arial" w:cs="Arial"/>
          <w:bCs/>
          <w:sz w:val="20"/>
          <w:szCs w:val="20"/>
        </w:rPr>
        <w:t xml:space="preserve">(2), 1005–1064. https://doi.org/10.5465/annals.2015.0133 </w:t>
      </w:r>
    </w:p>
    <w:p w14:paraId="104BF4E6" w14:textId="77777777" w:rsidR="00277A23" w:rsidRDefault="00277A23" w:rsidP="00277A23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</w:p>
    <w:p w14:paraId="712BDB04" w14:textId="6FAF3A55" w:rsidR="00277A23" w:rsidRPr="00277A23" w:rsidRDefault="00277A23" w:rsidP="00277A23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bookmarkStart w:id="10" w:name="_Hlk65259883"/>
      <w:r w:rsidRPr="00277A23">
        <w:rPr>
          <w:rFonts w:ascii="Arial" w:eastAsia="Times New Roman" w:hAnsi="Arial" w:cs="Arial"/>
          <w:sz w:val="20"/>
          <w:szCs w:val="20"/>
          <w:lang w:eastAsia="de-DE"/>
        </w:rPr>
        <w:lastRenderedPageBreak/>
        <w:t xml:space="preserve">Lammers, J., &amp; Baldwin, M. (2018). Past-focused temporal communication overcomes conservatives’ resistance to liberal political ideas. </w:t>
      </w:r>
      <w:r w:rsidRPr="00277A23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Journal of personality and social psychology</w:t>
      </w:r>
      <w:r w:rsidRPr="00277A23"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r w:rsidRPr="00277A23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114</w:t>
      </w:r>
      <w:r w:rsidRPr="00277A23">
        <w:rPr>
          <w:rFonts w:ascii="Arial" w:eastAsia="Times New Roman" w:hAnsi="Arial" w:cs="Arial"/>
          <w:sz w:val="20"/>
          <w:szCs w:val="20"/>
          <w:lang w:eastAsia="de-DE"/>
        </w:rPr>
        <w:t>(4), 599</w:t>
      </w:r>
      <w:r w:rsidR="00F8630C" w:rsidRPr="00F8630C">
        <w:rPr>
          <w:rFonts w:ascii="Arial" w:eastAsia="Times New Roman" w:hAnsi="Arial" w:cs="Arial"/>
          <w:sz w:val="20"/>
          <w:szCs w:val="20"/>
          <w:lang w:eastAsia="de-DE"/>
        </w:rPr>
        <w:t>-619</w:t>
      </w:r>
      <w:r w:rsidRPr="00277A23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="00F8630C" w:rsidRPr="00F8630C"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  <w:r w:rsidR="00F8630C" w:rsidRPr="00F8630C">
        <w:rPr>
          <w:rFonts w:ascii="Arial" w:hAnsi="Arial" w:cs="Arial"/>
          <w:sz w:val="20"/>
          <w:szCs w:val="20"/>
        </w:rPr>
        <w:t xml:space="preserve">https://doi.org/10.1037/pspi0000121 </w:t>
      </w:r>
    </w:p>
    <w:bookmarkEnd w:id="10"/>
    <w:p w14:paraId="01D0DAAC" w14:textId="77777777" w:rsidR="00D47369" w:rsidRPr="0073282B" w:rsidRDefault="00D47369" w:rsidP="00277A23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AE4AFC1" w14:textId="5E2C48D6" w:rsidR="00D47369" w:rsidRPr="00D47369" w:rsidRDefault="00D47369" w:rsidP="00D47369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D47369">
        <w:rPr>
          <w:rFonts w:ascii="Arial" w:eastAsia="Times New Roman" w:hAnsi="Arial" w:cs="Arial"/>
          <w:sz w:val="20"/>
          <w:szCs w:val="20"/>
          <w:lang w:eastAsia="de-DE"/>
        </w:rPr>
        <w:t xml:space="preserve">Lindsay, J. J., &amp; </w:t>
      </w:r>
      <w:proofErr w:type="spellStart"/>
      <w:r w:rsidRPr="00D47369">
        <w:rPr>
          <w:rFonts w:ascii="Arial" w:eastAsia="Times New Roman" w:hAnsi="Arial" w:cs="Arial"/>
          <w:sz w:val="20"/>
          <w:szCs w:val="20"/>
          <w:lang w:eastAsia="de-DE"/>
        </w:rPr>
        <w:t>Strathman</w:t>
      </w:r>
      <w:proofErr w:type="spellEnd"/>
      <w:r w:rsidRPr="00D47369">
        <w:rPr>
          <w:rFonts w:ascii="Arial" w:eastAsia="Times New Roman" w:hAnsi="Arial" w:cs="Arial"/>
          <w:sz w:val="20"/>
          <w:szCs w:val="20"/>
          <w:lang w:eastAsia="de-DE"/>
        </w:rPr>
        <w:t xml:space="preserve">, A. (1997). Predictors of recycling behavior: an application of a modified health belief model 1. </w:t>
      </w:r>
      <w:r w:rsidRPr="00D47369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Journal of Applied Social Psychology</w:t>
      </w:r>
      <w:r w:rsidRPr="00D47369"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r w:rsidRPr="00D47369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27</w:t>
      </w:r>
      <w:r w:rsidRPr="00D47369">
        <w:rPr>
          <w:rFonts w:ascii="Arial" w:eastAsia="Times New Roman" w:hAnsi="Arial" w:cs="Arial"/>
          <w:sz w:val="20"/>
          <w:szCs w:val="20"/>
          <w:lang w:eastAsia="de-DE"/>
        </w:rPr>
        <w:t xml:space="preserve">(20), 1799-1823. https://doi.org/10.1111/j.1559-1816.1997.tb01626.x </w:t>
      </w:r>
    </w:p>
    <w:p w14:paraId="2F06496F" w14:textId="77777777" w:rsidR="00BF5B28" w:rsidRPr="00D47369" w:rsidRDefault="00BF5B28" w:rsidP="00B833AB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ECEF800" w14:textId="170D5127" w:rsidR="00B833AB" w:rsidRDefault="00B833AB" w:rsidP="00B833AB">
      <w:pPr>
        <w:spacing w:after="0" w:line="240" w:lineRule="auto"/>
        <w:ind w:left="709" w:hanging="709"/>
        <w:rPr>
          <w:rFonts w:ascii="Arial" w:hAnsi="Arial" w:cs="Arial"/>
          <w:sz w:val="20"/>
          <w:szCs w:val="20"/>
        </w:rPr>
      </w:pPr>
      <w:proofErr w:type="spellStart"/>
      <w:r w:rsidRPr="00B833AB">
        <w:rPr>
          <w:rFonts w:ascii="Arial" w:eastAsia="Times New Roman" w:hAnsi="Arial" w:cs="Arial"/>
          <w:sz w:val="20"/>
          <w:szCs w:val="20"/>
          <w:lang w:eastAsia="de-DE"/>
        </w:rPr>
        <w:t>Milfont</w:t>
      </w:r>
      <w:proofErr w:type="spellEnd"/>
      <w:r w:rsidRPr="00B833AB">
        <w:rPr>
          <w:rFonts w:ascii="Arial" w:eastAsia="Times New Roman" w:hAnsi="Arial" w:cs="Arial"/>
          <w:sz w:val="20"/>
          <w:szCs w:val="20"/>
          <w:lang w:eastAsia="de-DE"/>
        </w:rPr>
        <w:t xml:space="preserve">, T. L., &amp; </w:t>
      </w:r>
      <w:proofErr w:type="spellStart"/>
      <w:r w:rsidRPr="00B833AB">
        <w:rPr>
          <w:rFonts w:ascii="Arial" w:eastAsia="Times New Roman" w:hAnsi="Arial" w:cs="Arial"/>
          <w:sz w:val="20"/>
          <w:szCs w:val="20"/>
          <w:lang w:eastAsia="de-DE"/>
        </w:rPr>
        <w:t>Demarque</w:t>
      </w:r>
      <w:proofErr w:type="spellEnd"/>
      <w:r w:rsidRPr="00B833AB">
        <w:rPr>
          <w:rFonts w:ascii="Arial" w:eastAsia="Times New Roman" w:hAnsi="Arial" w:cs="Arial"/>
          <w:sz w:val="20"/>
          <w:szCs w:val="20"/>
          <w:lang w:eastAsia="de-DE"/>
        </w:rPr>
        <w:t xml:space="preserve">, C. (2015). Understanding environmental issues with temporal lenses: Issues of temporality and individual differences. </w:t>
      </w:r>
      <w:r w:rsidRPr="00B833AB">
        <w:rPr>
          <w:rFonts w:ascii="Arial" w:hAnsi="Arial" w:cs="Arial"/>
          <w:sz w:val="20"/>
          <w:szCs w:val="20"/>
        </w:rPr>
        <w:t xml:space="preserve">In M. </w:t>
      </w:r>
      <w:proofErr w:type="spellStart"/>
      <w:r w:rsidRPr="00B833AB">
        <w:rPr>
          <w:rFonts w:ascii="Arial" w:hAnsi="Arial" w:cs="Arial"/>
          <w:sz w:val="20"/>
          <w:szCs w:val="20"/>
        </w:rPr>
        <w:t>Stolarski</w:t>
      </w:r>
      <w:proofErr w:type="spellEnd"/>
      <w:r w:rsidRPr="00B833AB">
        <w:rPr>
          <w:rFonts w:ascii="Arial" w:hAnsi="Arial" w:cs="Arial"/>
          <w:sz w:val="20"/>
          <w:szCs w:val="20"/>
        </w:rPr>
        <w:t xml:space="preserve">, N. </w:t>
      </w:r>
      <w:proofErr w:type="spellStart"/>
      <w:r w:rsidRPr="00B833AB">
        <w:rPr>
          <w:rFonts w:ascii="Arial" w:hAnsi="Arial" w:cs="Arial"/>
          <w:sz w:val="20"/>
          <w:szCs w:val="20"/>
        </w:rPr>
        <w:t>Fieulaine</w:t>
      </w:r>
      <w:proofErr w:type="spellEnd"/>
      <w:r w:rsidRPr="00B833AB">
        <w:rPr>
          <w:rFonts w:ascii="Arial" w:hAnsi="Arial" w:cs="Arial"/>
          <w:sz w:val="20"/>
          <w:szCs w:val="20"/>
        </w:rPr>
        <w:t xml:space="preserve">, &amp; W. Van Beek (Eds.), </w:t>
      </w:r>
      <w:r w:rsidRPr="00B833AB">
        <w:rPr>
          <w:rFonts w:ascii="Arial" w:hAnsi="Arial" w:cs="Arial"/>
          <w:i/>
          <w:iCs/>
          <w:sz w:val="20"/>
          <w:szCs w:val="20"/>
        </w:rPr>
        <w:t>Time perspective theory, research and application. Essays in honor of Philip Zimbardo</w:t>
      </w:r>
      <w:r w:rsidRPr="00B833AB">
        <w:rPr>
          <w:rFonts w:ascii="Arial" w:hAnsi="Arial" w:cs="Arial"/>
          <w:sz w:val="20"/>
          <w:szCs w:val="20"/>
        </w:rPr>
        <w:t xml:space="preserve"> (pp. 371–384). New York: Springer.</w:t>
      </w:r>
    </w:p>
    <w:p w14:paraId="74EEF33F" w14:textId="0DF6ACEE" w:rsidR="0008402C" w:rsidRDefault="0008402C" w:rsidP="00B833AB">
      <w:pPr>
        <w:spacing w:after="0" w:line="240" w:lineRule="auto"/>
        <w:ind w:left="709" w:hanging="709"/>
        <w:rPr>
          <w:rFonts w:ascii="Arial" w:hAnsi="Arial" w:cs="Arial"/>
          <w:sz w:val="20"/>
          <w:szCs w:val="20"/>
        </w:rPr>
      </w:pPr>
    </w:p>
    <w:p w14:paraId="4B54CF72" w14:textId="1BE7F19F" w:rsidR="0008402C" w:rsidRPr="0008402C" w:rsidRDefault="0008402C" w:rsidP="0008402C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B833AB">
        <w:rPr>
          <w:rFonts w:ascii="Arial" w:eastAsia="Times New Roman" w:hAnsi="Arial" w:cs="Arial"/>
          <w:sz w:val="20"/>
          <w:szCs w:val="20"/>
          <w:lang w:eastAsia="de-DE"/>
        </w:rPr>
        <w:t>Milfont</w:t>
      </w:r>
      <w:proofErr w:type="spellEnd"/>
      <w:r w:rsidRPr="00B833AB">
        <w:rPr>
          <w:rFonts w:ascii="Arial" w:eastAsia="Times New Roman" w:hAnsi="Arial" w:cs="Arial"/>
          <w:sz w:val="20"/>
          <w:szCs w:val="20"/>
          <w:lang w:eastAsia="de-DE"/>
        </w:rPr>
        <w:t xml:space="preserve">, T. L., &amp; Gouveia, V. V. (2006). Time perspective and values: An exploratory study of their relations to environmental attitudes. </w:t>
      </w:r>
      <w:r w:rsidRPr="0073282B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Journal of environmental psychology</w:t>
      </w:r>
      <w:r w:rsidRPr="0073282B"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r w:rsidRPr="0073282B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26</w:t>
      </w:r>
      <w:r w:rsidRPr="0073282B">
        <w:rPr>
          <w:rFonts w:ascii="Arial" w:eastAsia="Times New Roman" w:hAnsi="Arial" w:cs="Arial"/>
          <w:sz w:val="20"/>
          <w:szCs w:val="20"/>
          <w:lang w:eastAsia="de-DE"/>
        </w:rPr>
        <w:t>(1), 72-82. https://doi.org/10.1016/j.jenvp.2006.03.001</w:t>
      </w:r>
    </w:p>
    <w:p w14:paraId="4EFDAC6F" w14:textId="77777777" w:rsidR="00DD6B3E" w:rsidRPr="0073282B" w:rsidRDefault="00DD6B3E" w:rsidP="00277A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12766FC" w14:textId="2F279165" w:rsidR="00DD6B3E" w:rsidRPr="0073282B" w:rsidRDefault="00DD6B3E" w:rsidP="00DD6B3E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277A23">
        <w:rPr>
          <w:rFonts w:ascii="Arial" w:eastAsia="Times New Roman" w:hAnsi="Arial" w:cs="Arial"/>
          <w:sz w:val="20"/>
          <w:szCs w:val="20"/>
          <w:lang w:val="de-DE" w:eastAsia="de-DE"/>
        </w:rPr>
        <w:t>Milfont</w:t>
      </w:r>
      <w:proofErr w:type="spellEnd"/>
      <w:r w:rsidRPr="00277A23">
        <w:rPr>
          <w:rFonts w:ascii="Arial" w:eastAsia="Times New Roman" w:hAnsi="Arial" w:cs="Arial"/>
          <w:sz w:val="20"/>
          <w:szCs w:val="20"/>
          <w:lang w:val="de-DE" w:eastAsia="de-DE"/>
        </w:rPr>
        <w:t xml:space="preserve">, T. L., Wilson, J., &amp; Diniz, P. (2012). </w:t>
      </w:r>
      <w:r w:rsidRPr="00DD6B3E">
        <w:rPr>
          <w:rFonts w:ascii="Arial" w:eastAsia="Times New Roman" w:hAnsi="Arial" w:cs="Arial"/>
          <w:sz w:val="20"/>
          <w:szCs w:val="20"/>
          <w:lang w:eastAsia="de-DE"/>
        </w:rPr>
        <w:t xml:space="preserve">Time perspective and environmental engagement: A meta-analysis. </w:t>
      </w:r>
      <w:r w:rsidRPr="0073282B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International Journal of Psychology</w:t>
      </w:r>
      <w:r w:rsidRPr="0073282B"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r w:rsidRPr="0073282B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47</w:t>
      </w:r>
      <w:r w:rsidRPr="0073282B">
        <w:rPr>
          <w:rFonts w:ascii="Arial" w:eastAsia="Times New Roman" w:hAnsi="Arial" w:cs="Arial"/>
          <w:sz w:val="20"/>
          <w:szCs w:val="20"/>
          <w:lang w:eastAsia="de-DE"/>
        </w:rPr>
        <w:t>(5), 325-334. https://doi.org/10.1080/00207594.2011.647029</w:t>
      </w:r>
    </w:p>
    <w:p w14:paraId="33C64330" w14:textId="77777777" w:rsidR="00C95ED7" w:rsidRPr="0073282B" w:rsidRDefault="00C95ED7" w:rsidP="00C95ED7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C2C0BA4" w14:textId="48C636A1" w:rsidR="00DD6B3E" w:rsidRDefault="00C95ED7" w:rsidP="00DD6B3E">
      <w:pPr>
        <w:spacing w:after="0" w:line="240" w:lineRule="auto"/>
        <w:ind w:left="709" w:hanging="709"/>
        <w:rPr>
          <w:rFonts w:ascii="Arial" w:eastAsia="Times New Roman" w:hAnsi="Arial" w:cs="Arial"/>
          <w:sz w:val="16"/>
          <w:szCs w:val="16"/>
          <w:lang w:eastAsia="de-DE"/>
        </w:rPr>
      </w:pPr>
      <w:r w:rsidRPr="0073282B">
        <w:rPr>
          <w:rFonts w:ascii="Arial" w:eastAsia="Times New Roman" w:hAnsi="Arial" w:cs="Arial"/>
          <w:sz w:val="20"/>
          <w:szCs w:val="20"/>
          <w:lang w:eastAsia="de-DE"/>
        </w:rPr>
        <w:t xml:space="preserve">Nadkarni, S., Chen, T., &amp; Chen, J. (2016). </w:t>
      </w:r>
      <w:r w:rsidRPr="00C95ED7">
        <w:rPr>
          <w:rFonts w:ascii="Arial" w:eastAsia="Times New Roman" w:hAnsi="Arial" w:cs="Arial"/>
          <w:sz w:val="20"/>
          <w:szCs w:val="20"/>
          <w:lang w:eastAsia="de-DE"/>
        </w:rPr>
        <w:t xml:space="preserve">The clock is ticking! Executive temporal depth, industry velocity, and competitive aggressiveness. </w:t>
      </w:r>
      <w:r w:rsidRPr="00C95ED7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Strategic Management Journal</w:t>
      </w:r>
      <w:r w:rsidRPr="00C95ED7"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r w:rsidRPr="00C95ED7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37</w:t>
      </w:r>
      <w:r w:rsidRPr="00C95ED7">
        <w:rPr>
          <w:rFonts w:ascii="Arial" w:eastAsia="Times New Roman" w:hAnsi="Arial" w:cs="Arial"/>
          <w:sz w:val="20"/>
          <w:szCs w:val="20"/>
          <w:lang w:eastAsia="de-DE"/>
        </w:rPr>
        <w:t>(6), 1132-1153.</w:t>
      </w:r>
      <w:r w:rsidRPr="00DD6B3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DD6B3E" w:rsidRPr="00DD6B3E">
        <w:rPr>
          <w:rFonts w:ascii="Arial" w:eastAsia="Times New Roman" w:hAnsi="Arial" w:cs="Arial"/>
          <w:sz w:val="20"/>
          <w:szCs w:val="20"/>
          <w:lang w:eastAsia="de-DE"/>
        </w:rPr>
        <w:t>https://doi.org/10.1002/smj.2376</w:t>
      </w:r>
    </w:p>
    <w:p w14:paraId="09D2AE1D" w14:textId="77777777" w:rsidR="00DD6B3E" w:rsidRDefault="00DD6B3E" w:rsidP="00DD6B3E">
      <w:pPr>
        <w:spacing w:after="0" w:line="240" w:lineRule="auto"/>
        <w:ind w:left="709" w:hanging="709"/>
        <w:rPr>
          <w:rFonts w:ascii="Arial" w:eastAsia="Times New Roman" w:hAnsi="Arial" w:cs="Arial"/>
          <w:sz w:val="16"/>
          <w:szCs w:val="16"/>
          <w:lang w:eastAsia="de-DE"/>
        </w:rPr>
      </w:pPr>
    </w:p>
    <w:p w14:paraId="46F5D8C5" w14:textId="34586108" w:rsidR="00DD6B3E" w:rsidRPr="00DD6B3E" w:rsidRDefault="00DD6B3E" w:rsidP="00DD6B3E">
      <w:pPr>
        <w:spacing w:after="0" w:line="240" w:lineRule="auto"/>
        <w:ind w:left="709" w:hanging="709"/>
        <w:rPr>
          <w:rFonts w:ascii="Arial" w:eastAsia="Times New Roman" w:hAnsi="Arial" w:cs="Arial"/>
          <w:sz w:val="12"/>
          <w:szCs w:val="12"/>
          <w:lang w:eastAsia="de-DE"/>
        </w:rPr>
      </w:pPr>
      <w:r w:rsidRPr="00DD6B3E">
        <w:rPr>
          <w:rFonts w:ascii="Arial" w:eastAsia="Times New Roman" w:hAnsi="Arial" w:cs="Arial"/>
          <w:sz w:val="20"/>
          <w:szCs w:val="20"/>
          <w:lang w:eastAsia="de-DE"/>
        </w:rPr>
        <w:t xml:space="preserve">Sadeghi, A., </w:t>
      </w:r>
      <w:proofErr w:type="spellStart"/>
      <w:r w:rsidRPr="00DD6B3E">
        <w:rPr>
          <w:rFonts w:ascii="Arial" w:eastAsia="Times New Roman" w:hAnsi="Arial" w:cs="Arial"/>
          <w:sz w:val="20"/>
          <w:szCs w:val="20"/>
          <w:lang w:eastAsia="de-DE"/>
        </w:rPr>
        <w:t>Bijani</w:t>
      </w:r>
      <w:proofErr w:type="spellEnd"/>
      <w:r w:rsidRPr="00DD6B3E">
        <w:rPr>
          <w:rFonts w:ascii="Arial" w:eastAsia="Times New Roman" w:hAnsi="Arial" w:cs="Arial"/>
          <w:sz w:val="20"/>
          <w:szCs w:val="20"/>
          <w:lang w:eastAsia="de-DE"/>
        </w:rPr>
        <w:t xml:space="preserve">, M., &amp; </w:t>
      </w:r>
      <w:proofErr w:type="spellStart"/>
      <w:r w:rsidRPr="00DD6B3E">
        <w:rPr>
          <w:rFonts w:ascii="Arial" w:eastAsia="Times New Roman" w:hAnsi="Arial" w:cs="Arial"/>
          <w:sz w:val="20"/>
          <w:szCs w:val="20"/>
          <w:lang w:eastAsia="de-DE"/>
        </w:rPr>
        <w:t>Farhadian</w:t>
      </w:r>
      <w:proofErr w:type="spellEnd"/>
      <w:r w:rsidRPr="00DD6B3E">
        <w:rPr>
          <w:rFonts w:ascii="Arial" w:eastAsia="Times New Roman" w:hAnsi="Arial" w:cs="Arial"/>
          <w:sz w:val="20"/>
          <w:szCs w:val="20"/>
          <w:lang w:eastAsia="de-DE"/>
        </w:rPr>
        <w:t xml:space="preserve">, H. (2020). The mediating role of farmers' time perspective in water resources exploitation </w:t>
      </w:r>
      <w:proofErr w:type="spellStart"/>
      <w:r w:rsidRPr="00DD6B3E">
        <w:rPr>
          <w:rFonts w:ascii="Arial" w:eastAsia="Times New Roman" w:hAnsi="Arial" w:cs="Arial"/>
          <w:sz w:val="20"/>
          <w:szCs w:val="20"/>
          <w:lang w:eastAsia="de-DE"/>
        </w:rPr>
        <w:t>behaviour</w:t>
      </w:r>
      <w:proofErr w:type="spellEnd"/>
      <w:r w:rsidRPr="00DD6B3E">
        <w:rPr>
          <w:rFonts w:ascii="Arial" w:eastAsia="Times New Roman" w:hAnsi="Arial" w:cs="Arial"/>
          <w:sz w:val="20"/>
          <w:szCs w:val="20"/>
          <w:lang w:eastAsia="de-DE"/>
        </w:rPr>
        <w:t xml:space="preserve"> in the eastern area of Lake Urmia, Iran: An environmental psychological analysis. </w:t>
      </w:r>
      <w:r w:rsidRPr="0073282B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Water and Environment Journal</w:t>
      </w:r>
      <w:r w:rsidRPr="0073282B">
        <w:rPr>
          <w:rFonts w:ascii="Arial" w:eastAsia="Times New Roman" w:hAnsi="Arial" w:cs="Arial"/>
          <w:sz w:val="20"/>
          <w:szCs w:val="20"/>
          <w:lang w:eastAsia="de-DE"/>
        </w:rPr>
        <w:t>. https://doi.org/10.1111/wej.12510</w:t>
      </w:r>
    </w:p>
    <w:p w14:paraId="34AB8659" w14:textId="77777777" w:rsidR="00BF5B28" w:rsidRDefault="00BF5B28" w:rsidP="00BF5B28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B06089E" w14:textId="6F9F2A72" w:rsidR="00BF5B28" w:rsidRPr="00BF5B28" w:rsidRDefault="00BF5B28" w:rsidP="00BF5B28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  <w:r w:rsidRPr="00BF5B28">
        <w:rPr>
          <w:rFonts w:ascii="Arial" w:eastAsia="Times New Roman" w:hAnsi="Arial" w:cs="Arial"/>
          <w:sz w:val="20"/>
          <w:szCs w:val="20"/>
          <w:lang w:eastAsia="de-DE"/>
        </w:rPr>
        <w:t xml:space="preserve">Shipp, A. J., Edwards, J. R., &amp; Lambert, L. S. (2009). Conceptualization and measurement of temporal focus: The subjective experience of the past, present, and future. </w:t>
      </w:r>
      <w:r w:rsidRPr="00BF5B28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Organizational behavior and human decision processes</w:t>
      </w:r>
      <w:r w:rsidRPr="00BF5B28"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r w:rsidRPr="00BF5B28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110</w:t>
      </w:r>
      <w:r w:rsidRPr="00BF5B28">
        <w:rPr>
          <w:rFonts w:ascii="Arial" w:eastAsia="Times New Roman" w:hAnsi="Arial" w:cs="Arial"/>
          <w:sz w:val="20"/>
          <w:szCs w:val="20"/>
          <w:lang w:eastAsia="de-DE"/>
        </w:rPr>
        <w:t>(1), 1-22. https://doi.org/10.1016/j.obhdp.2009.05.001</w:t>
      </w:r>
    </w:p>
    <w:p w14:paraId="373E8073" w14:textId="4C96171F" w:rsidR="00B833AB" w:rsidRPr="00BF5B28" w:rsidRDefault="00B833AB" w:rsidP="00B833AB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DD57D54" w14:textId="5F1AEB8E" w:rsidR="0036010E" w:rsidRDefault="00CA1CC7" w:rsidP="0036010E">
      <w:pPr>
        <w:spacing w:after="0" w:line="240" w:lineRule="auto"/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>v</w:t>
      </w:r>
      <w:r w:rsidR="00B833AB" w:rsidRPr="00B833AB">
        <w:rPr>
          <w:rFonts w:ascii="Arial" w:hAnsi="Arial" w:cs="Arial"/>
          <w:sz w:val="20"/>
          <w:szCs w:val="20"/>
          <w:lang w:val="de-DE"/>
        </w:rPr>
        <w:t xml:space="preserve">an Lange, P. A., &amp; </w:t>
      </w:r>
      <w:proofErr w:type="spellStart"/>
      <w:r w:rsidR="00B833AB" w:rsidRPr="00B833AB">
        <w:rPr>
          <w:rFonts w:ascii="Arial" w:hAnsi="Arial" w:cs="Arial"/>
          <w:sz w:val="20"/>
          <w:szCs w:val="20"/>
          <w:lang w:val="de-DE"/>
        </w:rPr>
        <w:t>Joireman</w:t>
      </w:r>
      <w:proofErr w:type="spellEnd"/>
      <w:r w:rsidR="00B833AB" w:rsidRPr="00B833AB">
        <w:rPr>
          <w:rFonts w:ascii="Arial" w:hAnsi="Arial" w:cs="Arial"/>
          <w:sz w:val="20"/>
          <w:szCs w:val="20"/>
          <w:lang w:val="de-DE"/>
        </w:rPr>
        <w:t xml:space="preserve">, J. A. (2008). </w:t>
      </w:r>
      <w:r w:rsidR="00B833AB" w:rsidRPr="00B833AB">
        <w:rPr>
          <w:rFonts w:ascii="Arial" w:hAnsi="Arial" w:cs="Arial"/>
          <w:sz w:val="20"/>
          <w:szCs w:val="20"/>
        </w:rPr>
        <w:t xml:space="preserve">How we can promote behavior that serves all of us in the future. </w:t>
      </w:r>
      <w:r w:rsidR="00B833AB" w:rsidRPr="00B833AB">
        <w:rPr>
          <w:rFonts w:ascii="Arial" w:hAnsi="Arial" w:cs="Arial"/>
          <w:i/>
          <w:iCs/>
          <w:sz w:val="20"/>
          <w:szCs w:val="20"/>
        </w:rPr>
        <w:t>Social Issues and Policy Review</w:t>
      </w:r>
      <w:r w:rsidR="00B833AB" w:rsidRPr="00B833AB">
        <w:rPr>
          <w:rFonts w:ascii="Arial" w:hAnsi="Arial" w:cs="Arial"/>
          <w:sz w:val="20"/>
          <w:szCs w:val="20"/>
        </w:rPr>
        <w:t xml:space="preserve">, </w:t>
      </w:r>
      <w:r w:rsidR="00B833AB" w:rsidRPr="00B833AB">
        <w:rPr>
          <w:rFonts w:ascii="Arial" w:hAnsi="Arial" w:cs="Arial"/>
          <w:i/>
          <w:iCs/>
          <w:sz w:val="20"/>
          <w:szCs w:val="20"/>
        </w:rPr>
        <w:t>2</w:t>
      </w:r>
      <w:r w:rsidR="00B833AB" w:rsidRPr="00B833AB">
        <w:rPr>
          <w:rFonts w:ascii="Arial" w:hAnsi="Arial" w:cs="Arial"/>
          <w:sz w:val="20"/>
          <w:szCs w:val="20"/>
        </w:rPr>
        <w:t>(1), 127-157.</w:t>
      </w:r>
      <w:r w:rsidR="00B833AB">
        <w:rPr>
          <w:rFonts w:ascii="Arial" w:hAnsi="Arial" w:cs="Arial"/>
          <w:sz w:val="20"/>
          <w:szCs w:val="20"/>
        </w:rPr>
        <w:t xml:space="preserve"> </w:t>
      </w:r>
      <w:r w:rsidR="0036010E" w:rsidRPr="0036010E">
        <w:rPr>
          <w:rFonts w:ascii="Arial" w:hAnsi="Arial" w:cs="Arial"/>
          <w:sz w:val="20"/>
          <w:szCs w:val="20"/>
        </w:rPr>
        <w:t>https://doi.org/10.1111/j.1751-2409.2008.00013.x</w:t>
      </w:r>
      <w:r w:rsidR="00B833AB" w:rsidRPr="00B833AB">
        <w:rPr>
          <w:rFonts w:ascii="Arial" w:hAnsi="Arial" w:cs="Arial"/>
          <w:sz w:val="20"/>
          <w:szCs w:val="20"/>
        </w:rPr>
        <w:t xml:space="preserve"> </w:t>
      </w:r>
    </w:p>
    <w:p w14:paraId="4A0AE543" w14:textId="77777777" w:rsidR="0036010E" w:rsidRDefault="0036010E" w:rsidP="0036010E">
      <w:pPr>
        <w:spacing w:after="0" w:line="240" w:lineRule="auto"/>
        <w:ind w:left="709" w:hanging="709"/>
        <w:rPr>
          <w:rFonts w:ascii="Arial" w:hAnsi="Arial" w:cs="Arial"/>
          <w:sz w:val="20"/>
          <w:szCs w:val="20"/>
        </w:rPr>
      </w:pPr>
    </w:p>
    <w:p w14:paraId="68A8572C" w14:textId="3E077EA4" w:rsidR="0036010E" w:rsidRPr="0036010E" w:rsidRDefault="0036010E" w:rsidP="0036010E">
      <w:pPr>
        <w:spacing w:after="0" w:line="240" w:lineRule="auto"/>
        <w:ind w:left="709" w:hanging="709"/>
        <w:rPr>
          <w:rFonts w:ascii="Arial" w:hAnsi="Arial" w:cs="Arial"/>
          <w:sz w:val="20"/>
          <w:szCs w:val="20"/>
        </w:rPr>
      </w:pPr>
      <w:bookmarkStart w:id="11" w:name="_Hlk65259905"/>
      <w:proofErr w:type="spellStart"/>
      <w:r w:rsidRPr="0077490B">
        <w:rPr>
          <w:rFonts w:ascii="Arial" w:eastAsia="Times New Roman" w:hAnsi="Arial" w:cs="Arial"/>
          <w:sz w:val="20"/>
          <w:szCs w:val="20"/>
          <w:lang w:eastAsia="de-DE"/>
        </w:rPr>
        <w:t>Willson</w:t>
      </w:r>
      <w:proofErr w:type="spellEnd"/>
      <w:r w:rsidRPr="0077490B">
        <w:rPr>
          <w:rFonts w:ascii="Arial" w:eastAsia="Times New Roman" w:hAnsi="Arial" w:cs="Arial"/>
          <w:sz w:val="20"/>
          <w:szCs w:val="20"/>
          <w:lang w:eastAsia="de-DE"/>
        </w:rPr>
        <w:t xml:space="preserve">, K. G., Hart, J. L., &amp; </w:t>
      </w:r>
      <w:proofErr w:type="spellStart"/>
      <w:r w:rsidRPr="0077490B">
        <w:rPr>
          <w:rFonts w:ascii="Arial" w:eastAsia="Times New Roman" w:hAnsi="Arial" w:cs="Arial"/>
          <w:sz w:val="20"/>
          <w:szCs w:val="20"/>
          <w:lang w:eastAsia="de-DE"/>
        </w:rPr>
        <w:t>Zengel</w:t>
      </w:r>
      <w:proofErr w:type="spellEnd"/>
      <w:r w:rsidRPr="0077490B">
        <w:rPr>
          <w:rFonts w:ascii="Arial" w:eastAsia="Times New Roman" w:hAnsi="Arial" w:cs="Arial"/>
          <w:sz w:val="20"/>
          <w:szCs w:val="20"/>
          <w:lang w:eastAsia="de-DE"/>
        </w:rPr>
        <w:t xml:space="preserve">, B. (2019). </w:t>
      </w:r>
      <w:r w:rsidRPr="0036010E">
        <w:rPr>
          <w:rFonts w:ascii="Arial" w:eastAsia="Times New Roman" w:hAnsi="Arial" w:cs="Arial"/>
          <w:sz w:val="20"/>
          <w:szCs w:val="20"/>
          <w:lang w:eastAsia="de-DE"/>
        </w:rPr>
        <w:t xml:space="preserve">A longing for the natural past: unexplored benefits and impacts of a nostalgic approach toward restoration in ecology. </w:t>
      </w:r>
      <w:r w:rsidRPr="0077490B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Restoration Ecology</w:t>
      </w:r>
      <w:r w:rsidRPr="0077490B"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r w:rsidRPr="0077490B">
        <w:rPr>
          <w:rFonts w:ascii="Arial" w:eastAsia="Times New Roman" w:hAnsi="Arial" w:cs="Arial"/>
          <w:i/>
          <w:iCs/>
          <w:sz w:val="20"/>
          <w:szCs w:val="20"/>
          <w:lang w:eastAsia="de-DE"/>
        </w:rPr>
        <w:t>27</w:t>
      </w:r>
      <w:r w:rsidRPr="0077490B">
        <w:rPr>
          <w:rFonts w:ascii="Arial" w:eastAsia="Times New Roman" w:hAnsi="Arial" w:cs="Arial"/>
          <w:sz w:val="20"/>
          <w:szCs w:val="20"/>
          <w:lang w:eastAsia="de-DE"/>
        </w:rPr>
        <w:t>(5), 949-954. https://doi.org/10.1111/rec.12985</w:t>
      </w:r>
    </w:p>
    <w:bookmarkEnd w:id="11"/>
    <w:p w14:paraId="2CE1C671" w14:textId="77777777" w:rsidR="00BF5B28" w:rsidRDefault="00BF5B28" w:rsidP="0036010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4915B0" w14:textId="0C6DE07A" w:rsidR="00BF5B28" w:rsidRPr="00BF5B28" w:rsidRDefault="00BF5B28" w:rsidP="00BF5B28">
      <w:pPr>
        <w:spacing w:after="0" w:line="240" w:lineRule="auto"/>
        <w:ind w:left="709" w:hanging="709"/>
        <w:rPr>
          <w:rStyle w:val="slug-doi"/>
          <w:rFonts w:ascii="Arial" w:hAnsi="Arial" w:cs="Arial"/>
          <w:sz w:val="20"/>
          <w:szCs w:val="20"/>
        </w:rPr>
      </w:pPr>
      <w:r w:rsidRPr="00BF5B28">
        <w:rPr>
          <w:rStyle w:val="slug-doi"/>
          <w:rFonts w:ascii="Arial" w:hAnsi="Arial" w:cs="Arial"/>
          <w:sz w:val="20"/>
          <w:szCs w:val="20"/>
        </w:rPr>
        <w:t xml:space="preserve">Zimbardo, P. G., &amp; Boyd, J. N. (1999). Putting Time in Perspective: A Valid, Reliable Individual-Differences Metric. </w:t>
      </w:r>
      <w:r w:rsidRPr="00BF5B28">
        <w:rPr>
          <w:rStyle w:val="slug-doi"/>
          <w:rFonts w:ascii="Arial" w:hAnsi="Arial" w:cs="Arial"/>
          <w:i/>
          <w:iCs/>
          <w:sz w:val="20"/>
          <w:szCs w:val="20"/>
        </w:rPr>
        <w:t>Journal of Personality and Social Psychology</w:t>
      </w:r>
      <w:r w:rsidRPr="00BF5B28">
        <w:rPr>
          <w:rStyle w:val="slug-doi"/>
          <w:rFonts w:ascii="Arial" w:hAnsi="Arial" w:cs="Arial"/>
          <w:sz w:val="20"/>
          <w:szCs w:val="20"/>
        </w:rPr>
        <w:t xml:space="preserve">, </w:t>
      </w:r>
      <w:r w:rsidRPr="00BF5B28">
        <w:rPr>
          <w:rStyle w:val="slug-doi"/>
          <w:rFonts w:ascii="Arial" w:hAnsi="Arial" w:cs="Arial"/>
          <w:i/>
          <w:sz w:val="20"/>
          <w:szCs w:val="20"/>
        </w:rPr>
        <w:t>77</w:t>
      </w:r>
      <w:r w:rsidRPr="00BF5B28">
        <w:rPr>
          <w:rStyle w:val="slug-doi"/>
          <w:rFonts w:ascii="Arial" w:hAnsi="Arial" w:cs="Arial"/>
          <w:sz w:val="20"/>
          <w:szCs w:val="20"/>
        </w:rPr>
        <w:t xml:space="preserve">(6), 1271– 1288. </w:t>
      </w:r>
      <w:r w:rsidRPr="00BF5B28">
        <w:rPr>
          <w:rFonts w:ascii="Arial" w:hAnsi="Arial" w:cs="Arial"/>
          <w:sz w:val="20"/>
          <w:szCs w:val="20"/>
        </w:rPr>
        <w:t>https://doi.org/</w:t>
      </w:r>
      <w:r w:rsidRPr="00BF5B28">
        <w:rPr>
          <w:rStyle w:val="slug-doi"/>
          <w:rFonts w:ascii="Arial" w:hAnsi="Arial" w:cs="Arial"/>
          <w:sz w:val="20"/>
          <w:szCs w:val="20"/>
        </w:rPr>
        <w:t>10.1007/978-3-319-07368-2_2</w:t>
      </w:r>
    </w:p>
    <w:p w14:paraId="19439F29" w14:textId="77777777" w:rsidR="00BF5B28" w:rsidRDefault="00BF5B28" w:rsidP="00BF5B28">
      <w:pPr>
        <w:spacing w:after="0" w:line="240" w:lineRule="auto"/>
        <w:ind w:left="709" w:hanging="709"/>
        <w:rPr>
          <w:rFonts w:ascii="Arial" w:hAnsi="Arial" w:cs="Arial"/>
          <w:sz w:val="20"/>
          <w:szCs w:val="20"/>
        </w:rPr>
      </w:pPr>
    </w:p>
    <w:p w14:paraId="1BF0765F" w14:textId="77777777" w:rsidR="00BF5B28" w:rsidRDefault="00BF5B28" w:rsidP="00BF5B28">
      <w:pPr>
        <w:spacing w:after="0" w:line="240" w:lineRule="auto"/>
        <w:ind w:left="709" w:hanging="709"/>
        <w:rPr>
          <w:rFonts w:ascii="Arial" w:hAnsi="Arial" w:cs="Arial"/>
          <w:sz w:val="20"/>
          <w:szCs w:val="20"/>
        </w:rPr>
      </w:pPr>
    </w:p>
    <w:p w14:paraId="22A7562D" w14:textId="77777777" w:rsidR="00BF5B28" w:rsidRPr="00B833AB" w:rsidRDefault="00BF5B28" w:rsidP="00B833AB">
      <w:pPr>
        <w:spacing w:after="0" w:line="240" w:lineRule="auto"/>
        <w:ind w:left="709" w:hanging="709"/>
        <w:rPr>
          <w:rFonts w:ascii="Arial" w:hAnsi="Arial" w:cs="Arial"/>
          <w:sz w:val="18"/>
          <w:szCs w:val="18"/>
        </w:rPr>
      </w:pPr>
    </w:p>
    <w:p w14:paraId="68D01667" w14:textId="77777777" w:rsidR="00B833AB" w:rsidRPr="00B833AB" w:rsidRDefault="00B833AB" w:rsidP="00B833AB">
      <w:pPr>
        <w:spacing w:after="0" w:line="240" w:lineRule="auto"/>
        <w:ind w:left="709" w:hanging="709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483A262" w14:textId="18F957B7" w:rsidR="00F31ED9" w:rsidRDefault="00F31ED9" w:rsidP="00F31ED9">
      <w:pPr>
        <w:spacing w:line="276" w:lineRule="auto"/>
        <w:rPr>
          <w:rFonts w:ascii="Arial" w:hAnsi="Arial" w:cs="Arial"/>
          <w:sz w:val="20"/>
          <w:szCs w:val="20"/>
        </w:rPr>
      </w:pPr>
    </w:p>
    <w:p w14:paraId="7476CDC9" w14:textId="735302A4" w:rsidR="0072470C" w:rsidRPr="0072470C" w:rsidRDefault="0072470C" w:rsidP="00B06EFE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72470C" w:rsidRPr="007247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F81"/>
    <w:rsid w:val="0008402C"/>
    <w:rsid w:val="001337EF"/>
    <w:rsid w:val="001D4F81"/>
    <w:rsid w:val="00221932"/>
    <w:rsid w:val="0024719F"/>
    <w:rsid w:val="00277A23"/>
    <w:rsid w:val="002C01B0"/>
    <w:rsid w:val="002C7E82"/>
    <w:rsid w:val="002D1F12"/>
    <w:rsid w:val="002D4E84"/>
    <w:rsid w:val="00346B85"/>
    <w:rsid w:val="0036010E"/>
    <w:rsid w:val="00360A1E"/>
    <w:rsid w:val="00380499"/>
    <w:rsid w:val="0040384F"/>
    <w:rsid w:val="004574B9"/>
    <w:rsid w:val="00537952"/>
    <w:rsid w:val="005F4A44"/>
    <w:rsid w:val="006555EE"/>
    <w:rsid w:val="006638E1"/>
    <w:rsid w:val="006643D1"/>
    <w:rsid w:val="006739BA"/>
    <w:rsid w:val="00693CDB"/>
    <w:rsid w:val="006979F0"/>
    <w:rsid w:val="006C06FE"/>
    <w:rsid w:val="007107C9"/>
    <w:rsid w:val="00715059"/>
    <w:rsid w:val="0072450D"/>
    <w:rsid w:val="0072470C"/>
    <w:rsid w:val="0073282B"/>
    <w:rsid w:val="0076171A"/>
    <w:rsid w:val="0077432A"/>
    <w:rsid w:val="0077490B"/>
    <w:rsid w:val="007821B9"/>
    <w:rsid w:val="00785D9E"/>
    <w:rsid w:val="007E437D"/>
    <w:rsid w:val="007F4F67"/>
    <w:rsid w:val="008062BA"/>
    <w:rsid w:val="00847853"/>
    <w:rsid w:val="00867D9C"/>
    <w:rsid w:val="008C12F7"/>
    <w:rsid w:val="00993393"/>
    <w:rsid w:val="009C7FF9"/>
    <w:rsid w:val="009D2A34"/>
    <w:rsid w:val="009E55A9"/>
    <w:rsid w:val="009F3514"/>
    <w:rsid w:val="00A22F59"/>
    <w:rsid w:val="00A46030"/>
    <w:rsid w:val="00A84BF1"/>
    <w:rsid w:val="00B06EFE"/>
    <w:rsid w:val="00B45C47"/>
    <w:rsid w:val="00B833AB"/>
    <w:rsid w:val="00B91557"/>
    <w:rsid w:val="00BF5B28"/>
    <w:rsid w:val="00C0241C"/>
    <w:rsid w:val="00C1378A"/>
    <w:rsid w:val="00C95ED7"/>
    <w:rsid w:val="00CA1CC7"/>
    <w:rsid w:val="00D10684"/>
    <w:rsid w:val="00D47369"/>
    <w:rsid w:val="00DB1292"/>
    <w:rsid w:val="00DC3537"/>
    <w:rsid w:val="00DD6B3E"/>
    <w:rsid w:val="00DE42CF"/>
    <w:rsid w:val="00DF69E1"/>
    <w:rsid w:val="00E50F13"/>
    <w:rsid w:val="00E611E3"/>
    <w:rsid w:val="00E96DEB"/>
    <w:rsid w:val="00EA3ADB"/>
    <w:rsid w:val="00EC7644"/>
    <w:rsid w:val="00F13972"/>
    <w:rsid w:val="00F31ED9"/>
    <w:rsid w:val="00F8630C"/>
    <w:rsid w:val="00FB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1591E"/>
  <w15:chartTrackingRefBased/>
  <w15:docId w15:val="{18E5372E-BED2-41CB-BC9B-FDF04FB7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D4F8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3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3514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Absatz-Standardschriftart"/>
    <w:uiPriority w:val="99"/>
    <w:unhideWhenUsed/>
    <w:rsid w:val="00B833A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833AB"/>
    <w:rPr>
      <w:color w:val="605E5C"/>
      <w:shd w:val="clear" w:color="auto" w:fill="E1DFDD"/>
    </w:rPr>
  </w:style>
  <w:style w:type="character" w:customStyle="1" w:styleId="slug-doi">
    <w:name w:val="slug-doi"/>
    <w:basedOn w:val="Absatz-Standardschriftart"/>
    <w:rsid w:val="00BF5B28"/>
  </w:style>
  <w:style w:type="character" w:customStyle="1" w:styleId="highwire-cite-metadata-doi">
    <w:name w:val="highwire-cite-metadata-doi"/>
    <w:basedOn w:val="Absatz-Standardschriftart"/>
    <w:rsid w:val="00F86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0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1447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lschmeiduch@uni-osnabrueck.de</dc:creator>
  <cp:keywords/>
  <dc:description/>
  <cp:lastModifiedBy>lschmeiduch@uni-osnabrueck.de</cp:lastModifiedBy>
  <cp:revision>10</cp:revision>
  <cp:lastPrinted>2020-11-30T15:46:00Z</cp:lastPrinted>
  <dcterms:created xsi:type="dcterms:W3CDTF">2021-02-22T11:37:00Z</dcterms:created>
  <dcterms:modified xsi:type="dcterms:W3CDTF">2021-02-26T18:25:00Z</dcterms:modified>
</cp:coreProperties>
</file>